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519"/>
        <w:gridCol w:w="5230"/>
        <w:gridCol w:w="284"/>
        <w:gridCol w:w="283"/>
        <w:gridCol w:w="414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5387D82">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5387D82">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vAlign w:val="center"/>
          </w:tcPr>
          <w:p w14:paraId="4F9450A3" w14:textId="20CFB325" w:rsidR="00093CA9" w:rsidRDefault="006840CD" w:rsidP="00093CA9">
            <w:r>
              <w:t>De Brauw</w:t>
            </w:r>
          </w:p>
        </w:tc>
      </w:tr>
      <w:tr w:rsidR="00093CA9" w14:paraId="68D6C829" w14:textId="77777777" w:rsidTr="25387D82">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5387D82">
        <w:trPr>
          <w:trHeight w:val="533"/>
        </w:trPr>
        <w:tc>
          <w:tcPr>
            <w:tcW w:w="976" w:type="dxa"/>
            <w:vAlign w:val="center"/>
          </w:tcPr>
          <w:p w14:paraId="12C9C9CE" w14:textId="77777777" w:rsidR="00093CA9" w:rsidRDefault="00093CA9" w:rsidP="00093CA9"/>
        </w:tc>
        <w:tc>
          <w:tcPr>
            <w:tcW w:w="9256" w:type="dxa"/>
            <w:gridSpan w:val="4"/>
            <w:vAlign w:val="center"/>
          </w:tcPr>
          <w:p w14:paraId="624F8F71" w14:textId="5091F3C3" w:rsidR="00093CA9" w:rsidRDefault="006840CD" w:rsidP="00093CA9">
            <w:r>
              <w:t>EU</w:t>
            </w:r>
          </w:p>
        </w:tc>
      </w:tr>
      <w:tr w:rsidR="00093CA9" w:rsidRPr="00E50B13" w14:paraId="55091B20" w14:textId="77777777" w:rsidTr="25387D82">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5387D82">
        <w:trPr>
          <w:trHeight w:val="533"/>
        </w:trPr>
        <w:tc>
          <w:tcPr>
            <w:tcW w:w="976" w:type="dxa"/>
            <w:vAlign w:val="center"/>
          </w:tcPr>
          <w:p w14:paraId="59627549" w14:textId="77777777" w:rsidR="00093CA9" w:rsidRDefault="00093CA9" w:rsidP="00093CA9"/>
        </w:tc>
        <w:tc>
          <w:tcPr>
            <w:tcW w:w="9256" w:type="dxa"/>
            <w:gridSpan w:val="4"/>
            <w:vAlign w:val="center"/>
          </w:tcPr>
          <w:p w14:paraId="313A697B" w14:textId="2A1D6B7C" w:rsidR="00093CA9" w:rsidRDefault="00AE7467" w:rsidP="00093CA9">
            <w:r w:rsidRPr="00AE7467">
              <w:t>Directive (EU) 2019/2034 of the European Parliament and of the Council of 27 November 2019 on the prudential supervision of investment firms (“IFD”) </w:t>
            </w:r>
          </w:p>
        </w:tc>
      </w:tr>
      <w:tr w:rsidR="00093CA9" w14:paraId="67500B24" w14:textId="77777777" w:rsidTr="25387D82">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7357D2" w14:paraId="17DDB4EF" w14:textId="77777777" w:rsidTr="25387D82">
        <w:trPr>
          <w:trHeight w:val="1021"/>
        </w:trPr>
        <w:tc>
          <w:tcPr>
            <w:tcW w:w="976" w:type="dxa"/>
            <w:vAlign w:val="center"/>
          </w:tcPr>
          <w:p w14:paraId="04C859A5" w14:textId="77777777" w:rsidR="00093CA9" w:rsidRDefault="00093CA9" w:rsidP="00093CA9"/>
        </w:tc>
        <w:tc>
          <w:tcPr>
            <w:tcW w:w="9256" w:type="dxa"/>
            <w:gridSpan w:val="4"/>
            <w:vAlign w:val="center"/>
          </w:tcPr>
          <w:p w14:paraId="3322AC6C" w14:textId="77777777" w:rsidR="00093CA9" w:rsidRDefault="00475F85" w:rsidP="00093CA9">
            <w:pPr>
              <w:rPr>
                <w:lang w:val="fr-FR"/>
              </w:rPr>
            </w:pPr>
            <w:r>
              <w:rPr>
                <w:lang w:val="fr-FR"/>
              </w:rPr>
              <w:t xml:space="preserve">Directive (EU) 2019/2034: </w:t>
            </w:r>
            <w:hyperlink r:id="rId17" w:history="1">
              <w:r w:rsidRPr="00475F85">
                <w:rPr>
                  <w:rStyle w:val="Hyperlink"/>
                  <w:lang w:val="fr-FR"/>
                </w:rPr>
                <w:t>web.archive.org/web/20250729164640/https://eur-lex.europa.eu/legal-content/EN/TXT/?uri=CELEX:02019L2034-20241224</w:t>
              </w:r>
            </w:hyperlink>
          </w:p>
          <w:p w14:paraId="7C78B692" w14:textId="7A3DBC9B" w:rsidR="00C512C5" w:rsidRPr="00BC604F" w:rsidRDefault="007357D2" w:rsidP="00093CA9">
            <w:pPr>
              <w:rPr>
                <w:lang w:val="fr-FR"/>
              </w:rPr>
            </w:pPr>
            <w:r w:rsidRPr="00BC604F">
              <w:rPr>
                <w:lang w:val="fr-FR"/>
              </w:rPr>
              <w:t xml:space="preserve">EBA Guidelines on </w:t>
            </w:r>
            <w:proofErr w:type="spellStart"/>
            <w:r w:rsidRPr="00BC604F">
              <w:rPr>
                <w:lang w:val="fr-FR"/>
              </w:rPr>
              <w:t>internal</w:t>
            </w:r>
            <w:proofErr w:type="spellEnd"/>
            <w:r w:rsidRPr="00BC604F">
              <w:rPr>
                <w:lang w:val="fr-FR"/>
              </w:rPr>
              <w:t xml:space="preserve"> </w:t>
            </w:r>
            <w:proofErr w:type="spellStart"/>
            <w:r w:rsidRPr="00BC604F">
              <w:rPr>
                <w:lang w:val="fr-FR"/>
              </w:rPr>
              <w:t>governance</w:t>
            </w:r>
            <w:proofErr w:type="spellEnd"/>
            <w:r w:rsidRPr="00BC604F">
              <w:rPr>
                <w:lang w:val="fr-FR"/>
              </w:rPr>
              <w:t xml:space="preserve"> </w:t>
            </w:r>
            <w:proofErr w:type="spellStart"/>
            <w:r w:rsidRPr="00BC604F">
              <w:rPr>
                <w:lang w:val="fr-FR"/>
              </w:rPr>
              <w:t>under</w:t>
            </w:r>
            <w:proofErr w:type="spellEnd"/>
            <w:r w:rsidRPr="00BC604F">
              <w:rPr>
                <w:lang w:val="fr-FR"/>
              </w:rPr>
              <w:t xml:space="preserve"> Directive 2013/36/EU (EBA/GL/2021/05):</w:t>
            </w:r>
            <w:r w:rsidR="00BC604F" w:rsidRPr="00BC604F">
              <w:rPr>
                <w:lang w:val="fr-FR"/>
              </w:rPr>
              <w:t xml:space="preserve"> </w:t>
            </w:r>
            <w:hyperlink r:id="rId18" w:history="1">
              <w:r w:rsidR="00BC604F" w:rsidRPr="00BC604F">
                <w:rPr>
                  <w:rStyle w:val="Hyperlink"/>
                  <w:lang w:val="fr-FR"/>
                </w:rPr>
                <w:t>https://web.archive.org/web/20250729165159/https://www.eba.europa.eu/sites/default/files/document_library/Publications/Guidelines/2021/1016721/Final%20report%20on%20Guidelines%20on%20internal%20governance%20under%20CRD.pdf</w:t>
              </w:r>
            </w:hyperlink>
          </w:p>
          <w:p w14:paraId="1523C232" w14:textId="1935A264" w:rsidR="00F0609F" w:rsidRPr="007357D2" w:rsidRDefault="00F0609F" w:rsidP="00093CA9">
            <w:pPr>
              <w:rPr>
                <w:lang w:val="en-US"/>
              </w:rPr>
            </w:pPr>
            <w:r>
              <w:t xml:space="preserve">EBA Report on management and supervision of ESG risks for credit institutions and investment firms (EBA/REP/2021/18): </w:t>
            </w:r>
            <w:hyperlink r:id="rId19" w:history="1">
              <w:r w:rsidRPr="003F76B5">
                <w:rPr>
                  <w:rStyle w:val="Hyperlink"/>
                </w:rPr>
                <w:t>https://web.archive.org/web/20250707183937/https://www.eba.europa.eu/sites/default/files/document_library/Publications/Reports/2021/1015656/EBA%20Report%20on%20ESG%20risks%20management%20and%20supervision.pdf</w:t>
              </w:r>
            </w:hyperlink>
          </w:p>
        </w:tc>
      </w:tr>
      <w:tr w:rsidR="00093CA9" w:rsidRPr="005A2023" w14:paraId="1EA0B43C" w14:textId="77777777" w:rsidTr="25387D82">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5387D82">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vAlign w:val="center"/>
          </w:tcPr>
          <w:p w14:paraId="4E49657F" w14:textId="37C98B62" w:rsidR="00093CA9" w:rsidRDefault="00093CA9" w:rsidP="00093CA9"/>
        </w:tc>
      </w:tr>
      <w:tr w:rsidR="00093CA9" w14:paraId="401C58A8" w14:textId="77777777" w:rsidTr="25387D82">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vAlign w:val="center"/>
          </w:tcPr>
          <w:p w14:paraId="14F96ECD" w14:textId="77777777" w:rsidR="00093CA9" w:rsidRDefault="00093CA9" w:rsidP="00093CA9"/>
        </w:tc>
      </w:tr>
      <w:tr w:rsidR="00093CA9" w14:paraId="2CE0B955" w14:textId="77777777" w:rsidTr="25387D82">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lastRenderedPageBreak/>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vAlign w:val="center"/>
          </w:tcPr>
          <w:p w14:paraId="49932434" w14:textId="5E856CC8" w:rsidR="00093CA9" w:rsidRDefault="00093CA9" w:rsidP="00093CA9"/>
        </w:tc>
      </w:tr>
      <w:tr w:rsidR="00093CA9" w14:paraId="60051751" w14:textId="77777777" w:rsidTr="25387D82">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vAlign w:val="center"/>
          </w:tcPr>
          <w:p w14:paraId="676670DF" w14:textId="225D4869" w:rsidR="00093CA9" w:rsidRDefault="00093CA9" w:rsidP="00093CA9"/>
        </w:tc>
      </w:tr>
      <w:tr w:rsidR="00093CA9" w14:paraId="6426E869" w14:textId="77777777" w:rsidTr="25387D82">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vAlign w:val="center"/>
          </w:tcPr>
          <w:p w14:paraId="0A5E7122" w14:textId="3FAB2952" w:rsidR="00093CA9" w:rsidRDefault="00AE7467" w:rsidP="00093CA9">
            <w:r>
              <w:t>X</w:t>
            </w:r>
          </w:p>
        </w:tc>
      </w:tr>
      <w:tr w:rsidR="00093CA9" w14:paraId="4C779C87" w14:textId="77777777" w:rsidTr="25387D82">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vAlign w:val="center"/>
          </w:tcPr>
          <w:p w14:paraId="791241EA" w14:textId="77777777" w:rsidR="00093CA9" w:rsidRDefault="00093CA9" w:rsidP="00093CA9"/>
        </w:tc>
      </w:tr>
      <w:tr w:rsidR="00093CA9" w14:paraId="73270E71" w14:textId="77777777" w:rsidTr="25387D82">
        <w:trPr>
          <w:trHeight w:val="2330"/>
        </w:trPr>
        <w:tc>
          <w:tcPr>
            <w:tcW w:w="976" w:type="dxa"/>
            <w:vAlign w:val="center"/>
          </w:tcPr>
          <w:p w14:paraId="23BCBDE3" w14:textId="77777777" w:rsidR="00093CA9" w:rsidRPr="00BA1D39" w:rsidRDefault="00093CA9" w:rsidP="00093CA9">
            <w:pPr>
              <w:rPr>
                <w:b/>
                <w:bCs/>
              </w:rPr>
            </w:pPr>
            <w:r w:rsidRPr="00BA1D39">
              <w:rPr>
                <w:b/>
                <w:bCs/>
              </w:rPr>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5387D82">
        <w:trPr>
          <w:trHeight w:val="533"/>
        </w:trPr>
        <w:tc>
          <w:tcPr>
            <w:tcW w:w="976" w:type="dxa"/>
            <w:vAlign w:val="center"/>
          </w:tcPr>
          <w:p w14:paraId="3C6209F9" w14:textId="77777777" w:rsidR="00093CA9" w:rsidRDefault="00093CA9" w:rsidP="00093CA9"/>
        </w:tc>
        <w:tc>
          <w:tcPr>
            <w:tcW w:w="9256" w:type="dxa"/>
            <w:gridSpan w:val="4"/>
            <w:vAlign w:val="center"/>
          </w:tcPr>
          <w:p w14:paraId="30A48D89" w14:textId="7EEB1EBA" w:rsidR="00093CA9" w:rsidRDefault="00CF03F4" w:rsidP="00093CA9">
            <w:r w:rsidRPr="00CF03F4">
              <w:t xml:space="preserve">The Investment Firms Directive (IFD) (Directive (EU) 2019/2034) is a core prudential regulatory framework for investment firms in the European Union. </w:t>
            </w:r>
            <w:r w:rsidR="17B18A07" w:rsidRPr="25387D82">
              <w:rPr>
                <w:rFonts w:ascii="Calibri" w:hAnsi="Calibri" w:cs="Calibri"/>
              </w:rPr>
              <w:t>The IFD applies to investment</w:t>
            </w:r>
            <w:r w:rsidR="17B18A07">
              <w:t xml:space="preserve"> </w:t>
            </w:r>
            <w:r w:rsidR="17B18A07" w:rsidRPr="25387D82">
              <w:rPr>
                <w:rFonts w:ascii="Calibri" w:hAnsi="Calibri" w:cs="Calibri"/>
              </w:rPr>
              <w:t>firms authorised and supervised under Directive 2014/65/EU (MiFID).</w:t>
            </w:r>
            <w:r w:rsidR="17B18A07">
              <w:t xml:space="preserve"> </w:t>
            </w:r>
            <w:r w:rsidRPr="00CF03F4">
              <w:t xml:space="preserve">It establishes supervisory and capital requirements designed to ensure the soundness, stability, and orderly functioning of investment firms </w:t>
            </w:r>
          </w:p>
          <w:p w14:paraId="495DF6B5" w14:textId="0002CDCD" w:rsidR="00CF03F4" w:rsidRDefault="002563E3" w:rsidP="00093CA9">
            <w:r w:rsidRPr="002563E3">
              <w:t>The goal of the IFD is to introduce a risk-sensitive and proportionate prudential regime tailored specifically for investment firms. It seeks to strengthen financial stability, reduce systemic risk, and enhance the supervision of investment firms across the EU. The directive aligns prudential requirements (such as own funds, liquidity, governance, and risk management) with the nature, scale, and complexity of each firm’s activities.</w:t>
            </w:r>
            <w:r>
              <w:t xml:space="preserve"> </w:t>
            </w:r>
            <w:r w:rsidRPr="002563E3">
              <w:t xml:space="preserve">As a prudential tool, the IFD ensures that investment firms maintain sufficient capital to absorb losses and manage risks effectively. It mandates internal governance structures, risk management practices, and supervisory reporting. </w:t>
            </w:r>
          </w:p>
          <w:p w14:paraId="70BD5E14" w14:textId="77777777" w:rsidR="000453FA" w:rsidRDefault="000453FA" w:rsidP="000453FA">
            <w:r>
              <w:t>The IFD requires firms to identify, assess, and manage all material risks, including those related to climate change, through governance structures and internal risk management systems (Articles 26 and 29). While climate risks are not named explicitly, they are included under material risks per EU supervisory guidance. The IFD forms part of the IFD/IFR framework.</w:t>
            </w:r>
          </w:p>
          <w:p w14:paraId="18257824" w14:textId="76CA4D4A" w:rsidR="00106887" w:rsidRDefault="00106887" w:rsidP="00106887">
            <w:r w:rsidRPr="00106887">
              <w:t>While the IFD does not explicitly reference climate risk, EU supervisory guidance—particularly EBA/GL/2021/05 and EBA/REP/2021/18—clarifies that climate-related financial risks fall within the scope of "material risks" that must be identified, assessed, and managed under Articles 26 and 29 of the IFD. These expectations are now part of the risk management and internal governance obligations for investment firms under the IFD/IFR framework.</w:t>
            </w:r>
          </w:p>
        </w:tc>
      </w:tr>
      <w:tr w:rsidR="00093CA9" w14:paraId="2451E529" w14:textId="77777777" w:rsidTr="25387D82">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5387D82">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vAlign w:val="center"/>
          </w:tcPr>
          <w:p w14:paraId="54354EEF" w14:textId="790CAE67" w:rsidR="00093CA9" w:rsidRDefault="00054F56" w:rsidP="00093CA9">
            <w:r>
              <w:t>X</w:t>
            </w:r>
          </w:p>
        </w:tc>
      </w:tr>
      <w:tr w:rsidR="00093CA9" w14:paraId="3640F334" w14:textId="77777777" w:rsidTr="25387D82">
        <w:trPr>
          <w:trHeight w:val="300"/>
        </w:trPr>
        <w:tc>
          <w:tcPr>
            <w:tcW w:w="976" w:type="dxa"/>
            <w:vAlign w:val="center"/>
          </w:tcPr>
          <w:p w14:paraId="6223CD09" w14:textId="77777777" w:rsidR="00093CA9" w:rsidRDefault="00093CA9" w:rsidP="00093CA9">
            <w:r>
              <w:lastRenderedPageBreak/>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vAlign w:val="center"/>
          </w:tcPr>
          <w:p w14:paraId="7E87AE91" w14:textId="77777777" w:rsidR="00093CA9" w:rsidRDefault="00093CA9" w:rsidP="00093CA9"/>
        </w:tc>
      </w:tr>
      <w:tr w:rsidR="003D6DA5" w14:paraId="2F19D0AC" w14:textId="77777777" w:rsidTr="25387D82">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vAlign w:val="center"/>
          </w:tcPr>
          <w:p w14:paraId="3B8D198C" w14:textId="77777777" w:rsidR="003D6DA5" w:rsidRDefault="003D6DA5"/>
        </w:tc>
      </w:tr>
      <w:tr w:rsidR="002B255F" w14:paraId="32FE17F8" w14:textId="77777777" w:rsidTr="25387D82">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vAlign w:val="center"/>
          </w:tcPr>
          <w:p w14:paraId="2FD900BD" w14:textId="77777777" w:rsidR="002B255F" w:rsidRDefault="002B255F"/>
        </w:tc>
      </w:tr>
      <w:tr w:rsidR="003D6DA5" w14:paraId="1E09AAC3" w14:textId="77777777" w:rsidTr="25387D82">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vAlign w:val="center"/>
          </w:tcPr>
          <w:p w14:paraId="7F5FECBA" w14:textId="77777777" w:rsidR="003D6DA5" w:rsidRDefault="003D6DA5" w:rsidP="00093CA9"/>
        </w:tc>
      </w:tr>
      <w:tr w:rsidR="00093CA9" w14:paraId="7E5D91D3" w14:textId="77777777" w:rsidTr="25387D82">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vAlign w:val="center"/>
          </w:tcPr>
          <w:p w14:paraId="1D526E48" w14:textId="1B0B4271" w:rsidR="00093CA9" w:rsidRDefault="00093CA9" w:rsidP="00093CA9"/>
        </w:tc>
      </w:tr>
      <w:tr w:rsidR="00093CA9" w14:paraId="68022F59" w14:textId="77777777" w:rsidTr="25387D82">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5387D82">
        <w:trPr>
          <w:trHeight w:val="533"/>
        </w:trPr>
        <w:tc>
          <w:tcPr>
            <w:tcW w:w="976" w:type="dxa"/>
            <w:vAlign w:val="center"/>
          </w:tcPr>
          <w:p w14:paraId="36DF578D" w14:textId="77777777" w:rsidR="00093CA9" w:rsidRDefault="00093CA9" w:rsidP="00093CA9"/>
        </w:tc>
        <w:tc>
          <w:tcPr>
            <w:tcW w:w="9256" w:type="dxa"/>
            <w:gridSpan w:val="4"/>
            <w:vAlign w:val="center"/>
          </w:tcPr>
          <w:p w14:paraId="312E9D7B" w14:textId="77777777" w:rsidR="00093CA9" w:rsidRDefault="00093CA9" w:rsidP="00093CA9"/>
        </w:tc>
      </w:tr>
      <w:tr w:rsidR="00093CA9" w14:paraId="5FF08B4A" w14:textId="77777777" w:rsidTr="25387D82">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5387D82">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vAlign w:val="center"/>
          </w:tcPr>
          <w:p w14:paraId="22A2FF1A" w14:textId="49569A46" w:rsidR="00093CA9" w:rsidRPr="00173D7C" w:rsidRDefault="00C92C1A" w:rsidP="00093CA9">
            <w:pPr>
              <w:rPr>
                <w:color w:val="000000" w:themeColor="text1"/>
              </w:rPr>
            </w:pPr>
            <w:r>
              <w:rPr>
                <w:color w:val="000000" w:themeColor="text1"/>
              </w:rPr>
              <w:t>27 November 2019 (published in the Official Journal of the EU on 5 December 2019)</w:t>
            </w:r>
          </w:p>
        </w:tc>
      </w:tr>
      <w:tr w:rsidR="00093CA9" w14:paraId="738B7301" w14:textId="77777777" w:rsidTr="25387D82">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5387D82">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vAlign w:val="center"/>
          </w:tcPr>
          <w:p w14:paraId="5AD2325B" w14:textId="7FFC50F4" w:rsidR="00093CA9" w:rsidRPr="00173D7C" w:rsidRDefault="00C92C1A" w:rsidP="00093CA9">
            <w:pPr>
              <w:rPr>
                <w:color w:val="000000" w:themeColor="text1"/>
              </w:rPr>
            </w:pPr>
            <w:r>
              <w:rPr>
                <w:color w:val="000000" w:themeColor="text1"/>
              </w:rPr>
              <w:t>25 December 2019 (20 days after publication), with a transposition deadline of 26 June 2021</w:t>
            </w:r>
          </w:p>
        </w:tc>
      </w:tr>
      <w:tr w:rsidR="00093CA9" w14:paraId="2C2614F8" w14:textId="77777777" w:rsidTr="25387D82">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5387D82">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5387D82">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5387D82">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5387D82">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5387D82">
        <w:trPr>
          <w:trHeight w:val="533"/>
        </w:trPr>
        <w:tc>
          <w:tcPr>
            <w:tcW w:w="976" w:type="dxa"/>
            <w:vAlign w:val="center"/>
          </w:tcPr>
          <w:p w14:paraId="770E445F" w14:textId="77777777" w:rsidR="00093CA9" w:rsidRPr="00BA1D39" w:rsidRDefault="00093CA9" w:rsidP="00093CA9">
            <w:pPr>
              <w:rPr>
                <w:b/>
                <w:bCs/>
              </w:rPr>
            </w:pPr>
          </w:p>
        </w:tc>
        <w:tc>
          <w:tcPr>
            <w:tcW w:w="9256" w:type="dxa"/>
            <w:gridSpan w:val="4"/>
            <w:vAlign w:val="center"/>
          </w:tcPr>
          <w:p w14:paraId="7961F236" w14:textId="4806A760" w:rsidR="00093CA9" w:rsidRDefault="00C11704" w:rsidP="00093CA9">
            <w:r>
              <w:t>European Parliament and the Council of the European Union</w:t>
            </w:r>
          </w:p>
        </w:tc>
      </w:tr>
      <w:tr w:rsidR="00093CA9" w:rsidRPr="006B7B0D" w14:paraId="5375EB04" w14:textId="77777777" w:rsidTr="25387D82">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5387D82">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4357B3DC" w:rsidR="00093CA9" w:rsidRPr="006B7B0D" w:rsidRDefault="00CC15F1" w:rsidP="00093CA9">
            <w:r>
              <w:t>European Banking Authority</w:t>
            </w:r>
          </w:p>
        </w:tc>
      </w:tr>
      <w:tr w:rsidR="00093CA9" w:rsidRPr="006B7B0D" w14:paraId="2F387FFB" w14:textId="77777777" w:rsidTr="25387D82">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5387D82">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5387D82">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5387D82">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59E14BC" w:rsidR="00093CA9" w:rsidRPr="006B7B0D" w:rsidRDefault="00046BFD" w:rsidP="00093CA9">
            <w:r>
              <w:t>X</w:t>
            </w:r>
          </w:p>
        </w:tc>
      </w:tr>
      <w:tr w:rsidR="00093CA9" w:rsidRPr="006B7B0D" w14:paraId="68784F43" w14:textId="77777777" w:rsidTr="25387D82">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40D105A" w:rsidR="00093CA9" w:rsidRPr="006B7B0D" w:rsidRDefault="00093CA9" w:rsidP="00093CA9"/>
        </w:tc>
      </w:tr>
      <w:tr w:rsidR="00093CA9" w:rsidRPr="006B7B0D" w14:paraId="06CA77C4" w14:textId="77777777" w:rsidTr="25387D82">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5387D82">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2B74A57E" w:rsidR="00093CA9" w:rsidRPr="006B7B0D" w:rsidRDefault="00626B48" w:rsidP="00093CA9">
            <w:r>
              <w:t>European Commission</w:t>
            </w:r>
          </w:p>
        </w:tc>
      </w:tr>
      <w:tr w:rsidR="00093CA9" w:rsidRPr="006B7B0D" w14:paraId="6AB9B869" w14:textId="77777777" w:rsidTr="25387D82">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5387D82">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5387D82">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5387D82">
        <w:trPr>
          <w:trHeight w:val="63"/>
        </w:trPr>
        <w:tc>
          <w:tcPr>
            <w:tcW w:w="976" w:type="dxa"/>
            <w:vAlign w:val="center"/>
          </w:tcPr>
          <w:p w14:paraId="003BCF38" w14:textId="77777777" w:rsidR="00093CA9" w:rsidRPr="006B7B0D" w:rsidRDefault="00093CA9" w:rsidP="00093CA9">
            <w:r w:rsidRPr="006B7B0D">
              <w:lastRenderedPageBreak/>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4282CB80" w:rsidR="00093CA9" w:rsidRPr="006B7B0D" w:rsidRDefault="00046BFD" w:rsidP="00093CA9">
            <w:r>
              <w:t>X</w:t>
            </w:r>
          </w:p>
        </w:tc>
      </w:tr>
      <w:tr w:rsidR="00093CA9" w:rsidRPr="006B7B0D" w14:paraId="0C248745" w14:textId="77777777" w:rsidTr="25387D82">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37412EB5" w:rsidR="00093CA9" w:rsidRPr="006B7B0D" w:rsidRDefault="00093CA9" w:rsidP="00093CA9"/>
        </w:tc>
      </w:tr>
      <w:tr w:rsidR="00093CA9" w:rsidRPr="006B7B0D" w14:paraId="40B951C4" w14:textId="77777777" w:rsidTr="25387D82">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5387D82">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25387D82">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5387D82">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5387D82">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5387D82">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5387D82">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5387D82">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5387D82">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25387D82">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5387D82">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5387D82">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5387D82">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5387D82">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5387D82">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5387D82">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25387D82">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5387D82">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5387D82">
        <w:trPr>
          <w:trHeight w:val="63"/>
        </w:trPr>
        <w:tc>
          <w:tcPr>
            <w:tcW w:w="976" w:type="dxa"/>
            <w:vAlign w:val="center"/>
          </w:tcPr>
          <w:p w14:paraId="3F2E631F" w14:textId="77777777" w:rsidR="00093CA9" w:rsidRPr="006B7B0D" w:rsidRDefault="00093CA9" w:rsidP="00093CA9">
            <w:r w:rsidRPr="006B7B0D">
              <w:t>14.5.</w:t>
            </w:r>
            <w:r w:rsidRPr="006B7B0D">
              <w:lastRenderedPageBreak/>
              <w:t>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lastRenderedPageBreak/>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5387D82">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5387D82">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5387D82">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5387D82">
        <w:trPr>
          <w:trHeight w:val="1020"/>
        </w:trPr>
        <w:tc>
          <w:tcPr>
            <w:tcW w:w="976" w:type="dxa"/>
            <w:vAlign w:val="center"/>
          </w:tcPr>
          <w:p w14:paraId="6B62A7E8" w14:textId="77777777" w:rsidR="00093CA9" w:rsidRDefault="00093CA9" w:rsidP="00093CA9"/>
        </w:tc>
        <w:tc>
          <w:tcPr>
            <w:tcW w:w="9256" w:type="dxa"/>
            <w:gridSpan w:val="4"/>
            <w:vAlign w:val="center"/>
          </w:tcPr>
          <w:p w14:paraId="42D06D03" w14:textId="77777777" w:rsidR="00093CA9" w:rsidRDefault="00093CA9" w:rsidP="00093CA9"/>
        </w:tc>
      </w:tr>
      <w:tr w:rsidR="00093CA9" w14:paraId="7C1E73C1" w14:textId="77777777" w:rsidTr="25387D82">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5387D82">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vAlign w:val="center"/>
          </w:tcPr>
          <w:p w14:paraId="146E2BFD" w14:textId="77777777" w:rsidR="00093CA9" w:rsidRDefault="00093CA9" w:rsidP="00093CA9"/>
        </w:tc>
      </w:tr>
      <w:tr w:rsidR="00093CA9" w14:paraId="461D4D38" w14:textId="77777777" w:rsidTr="25387D82">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vAlign w:val="center"/>
          </w:tcPr>
          <w:p w14:paraId="54F7EBC8" w14:textId="4A03BACF" w:rsidR="00093CA9" w:rsidRDefault="00C00786" w:rsidP="00093CA9">
            <w:r>
              <w:t>X</w:t>
            </w:r>
          </w:p>
        </w:tc>
      </w:tr>
      <w:tr w:rsidR="00093CA9" w14:paraId="0763562F" w14:textId="77777777" w:rsidTr="25387D82">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5387D82">
        <w:trPr>
          <w:trHeight w:val="1020"/>
        </w:trPr>
        <w:tc>
          <w:tcPr>
            <w:tcW w:w="976" w:type="dxa"/>
            <w:vAlign w:val="center"/>
          </w:tcPr>
          <w:p w14:paraId="08EDF6C9" w14:textId="77777777" w:rsidR="00093CA9" w:rsidRDefault="00093CA9" w:rsidP="00093CA9"/>
        </w:tc>
        <w:tc>
          <w:tcPr>
            <w:tcW w:w="9256" w:type="dxa"/>
            <w:gridSpan w:val="4"/>
            <w:vAlign w:val="center"/>
          </w:tcPr>
          <w:p w14:paraId="1DCA4FF5" w14:textId="77777777" w:rsidR="00A82AAA" w:rsidRPr="00A82AAA" w:rsidRDefault="00A82AAA" w:rsidP="00A82AAA">
            <w:pPr>
              <w:rPr>
                <w:color w:val="000000" w:themeColor="text1"/>
              </w:rPr>
            </w:pPr>
            <w:r w:rsidRPr="00A82AAA">
              <w:rPr>
                <w:color w:val="000000" w:themeColor="text1"/>
              </w:rPr>
              <w:t>Competent authorities are required to ensure that investment firms establish robust strategies, policies, processes, and systems for identifying, measuring, managing, and monitoring material sources and effects of risk, including their potential material impact on own funds (Article 29). To monitor compliance with this obligation, competent authorities are granted a range of supervisory powers under Article 4, including the authority to obtain all necessary information from investment firms, and where applicable, from investment holding companies and mixed financial holding companies.</w:t>
            </w:r>
          </w:p>
          <w:p w14:paraId="76397BAF" w14:textId="109BBE49" w:rsidR="006073E2" w:rsidRPr="006073E2" w:rsidRDefault="00A82AAA" w:rsidP="006073E2">
            <w:pPr>
              <w:rPr>
                <w:color w:val="000000" w:themeColor="text1"/>
              </w:rPr>
            </w:pPr>
            <w:r>
              <w:rPr>
                <w:color w:val="000000" w:themeColor="text1"/>
              </w:rPr>
              <w:t>Additionally, A</w:t>
            </w:r>
            <w:r w:rsidR="006073E2" w:rsidRPr="006073E2">
              <w:rPr>
                <w:color w:val="000000" w:themeColor="text1"/>
              </w:rPr>
              <w:t xml:space="preserve">rticle 13(1)–(2) of the IFD sets out mechanisms for cross-border information sharing between competent authorities of different Member States. Authorities must exchange key supervisory </w:t>
            </w:r>
            <w:r>
              <w:rPr>
                <w:color w:val="000000" w:themeColor="text1"/>
              </w:rPr>
              <w:t xml:space="preserve">information, </w:t>
            </w:r>
            <w:r w:rsidR="006073E2" w:rsidRPr="006073E2">
              <w:rPr>
                <w:color w:val="000000" w:themeColor="text1"/>
              </w:rPr>
              <w:t>such as ownership structure, capital adequacy, liquidity, and internal contro</w:t>
            </w:r>
            <w:r>
              <w:rPr>
                <w:color w:val="000000" w:themeColor="text1"/>
              </w:rPr>
              <w:t xml:space="preserve">ls, </w:t>
            </w:r>
            <w:r w:rsidR="006073E2" w:rsidRPr="006073E2">
              <w:rPr>
                <w:color w:val="000000" w:themeColor="text1"/>
              </w:rPr>
              <w:t>without delay, especially when potential risks to client protection or financial stability are identified.</w:t>
            </w:r>
          </w:p>
          <w:p w14:paraId="4F4B23C3" w14:textId="0D681EF5" w:rsidR="00BD5811" w:rsidRDefault="009011CC" w:rsidP="00093CA9">
            <w:pPr>
              <w:keepNext/>
              <w:rPr>
                <w:color w:val="000000" w:themeColor="text1"/>
              </w:rPr>
            </w:pPr>
            <w:r>
              <w:rPr>
                <w:color w:val="000000" w:themeColor="text1"/>
              </w:rPr>
              <w:lastRenderedPageBreak/>
              <w:t>A</w:t>
            </w:r>
            <w:r w:rsidR="00BD5811" w:rsidRPr="00BD5811">
              <w:rPr>
                <w:color w:val="000000" w:themeColor="text1"/>
              </w:rPr>
              <w:t>dministrative sanctions must be reported by national authorities to the European Banking Authority (EBA), which maintains a central database for internal use</w:t>
            </w:r>
            <w:r w:rsidR="00BD5811">
              <w:rPr>
                <w:color w:val="000000" w:themeColor="text1"/>
              </w:rPr>
              <w:t xml:space="preserve"> (Article 21).</w:t>
            </w:r>
          </w:p>
          <w:p w14:paraId="2C2128DB" w14:textId="0B0A206A" w:rsidR="00BD5811" w:rsidRPr="008017F9" w:rsidRDefault="00BD5811" w:rsidP="00093CA9">
            <w:pPr>
              <w:keepNext/>
              <w:rPr>
                <w:color w:val="000000" w:themeColor="text1"/>
              </w:rPr>
            </w:pPr>
            <w:r w:rsidRPr="00BD5811">
              <w:rPr>
                <w:color w:val="000000" w:themeColor="text1"/>
              </w:rPr>
              <w:t>Certain enforcement measures must</w:t>
            </w:r>
            <w:r w:rsidR="00A82AAA">
              <w:rPr>
                <w:color w:val="000000" w:themeColor="text1"/>
              </w:rPr>
              <w:t xml:space="preserve"> also</w:t>
            </w:r>
            <w:r w:rsidRPr="00BD5811">
              <w:rPr>
                <w:color w:val="000000" w:themeColor="text1"/>
              </w:rPr>
              <w:t xml:space="preserve"> be published on national authorities’ websites, unless exempted for confidentiality or market stability reasons</w:t>
            </w:r>
            <w:r>
              <w:rPr>
                <w:color w:val="000000" w:themeColor="text1"/>
              </w:rPr>
              <w:t xml:space="preserve"> (Article 20).</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3FF57D97"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7DFD229"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08E5398"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F29F338"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7646EB5"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2F7D48B"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8A1BA95"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F7F90B0"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BDE905F"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4555D9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9F40B80"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4269F655"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761BE3A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093CAB02"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92964"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7E35CDF8"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712BB1FB"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3457D302"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2846D210"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475F85"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567F5C" w:rsidRDefault="00107CE2" w:rsidP="00DD3144">
            <w:pPr>
              <w:rPr>
                <w:lang w:val="fr-FR"/>
              </w:rPr>
            </w:pPr>
            <w:r w:rsidRPr="00567F5C">
              <w:rPr>
                <w:lang w:val="fr-FR"/>
              </w:rPr>
              <w:t>Minimum revenue (Enter minimum revenue)</w:t>
            </w:r>
          </w:p>
        </w:tc>
        <w:tc>
          <w:tcPr>
            <w:tcW w:w="4910" w:type="dxa"/>
            <w:gridSpan w:val="7"/>
            <w:vAlign w:val="center"/>
          </w:tcPr>
          <w:p w14:paraId="2518BD70" w14:textId="77777777" w:rsidR="00524D54" w:rsidRPr="00567F5C"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26F8A601"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F0609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567F5C" w:rsidRDefault="004F276F" w:rsidP="00C37D48">
            <w:pPr>
              <w:rPr>
                <w:rFonts w:ascii="Calibri" w:hAnsi="Calibri" w:cs="Calibri"/>
                <w:lang w:val="fr-FR"/>
              </w:rPr>
            </w:pPr>
            <w:r w:rsidRPr="00567F5C">
              <w:rPr>
                <w:rFonts w:ascii="Calibri" w:hAnsi="Calibri" w:cs="Calibri"/>
                <w:lang w:val="fr-FR"/>
              </w:rPr>
              <w:t>Minimum revenue (Enter minimum revenue)</w:t>
            </w:r>
          </w:p>
        </w:tc>
        <w:tc>
          <w:tcPr>
            <w:tcW w:w="4894" w:type="dxa"/>
            <w:gridSpan w:val="4"/>
            <w:vAlign w:val="center"/>
          </w:tcPr>
          <w:p w14:paraId="6AD40C56" w14:textId="77777777" w:rsidR="004F276F" w:rsidRPr="00567F5C"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F0609F"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67F5C" w:rsidRDefault="00C66EE0" w:rsidP="00610F28">
            <w:pPr>
              <w:rPr>
                <w:rFonts w:ascii="Calibri" w:hAnsi="Calibri" w:cs="Calibri"/>
                <w:lang w:val="fr-FR"/>
              </w:rPr>
            </w:pPr>
            <w:r w:rsidRPr="00567F5C">
              <w:rPr>
                <w:rFonts w:ascii="Calibri" w:hAnsi="Calibri" w:cs="Calibri"/>
                <w:lang w:val="fr-FR"/>
              </w:rPr>
              <w:t>Minimum revenue (Enter minimum revenue)</w:t>
            </w:r>
          </w:p>
        </w:tc>
        <w:tc>
          <w:tcPr>
            <w:tcW w:w="5220" w:type="dxa"/>
            <w:gridSpan w:val="3"/>
            <w:vAlign w:val="center"/>
          </w:tcPr>
          <w:p w14:paraId="6BA41E6D" w14:textId="77777777" w:rsidR="00C66EE0" w:rsidRPr="00567F5C"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F0609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567F5C" w:rsidRDefault="00092534" w:rsidP="00CF2E7C">
            <w:pPr>
              <w:rPr>
                <w:rFonts w:ascii="Calibri" w:hAnsi="Calibri" w:cs="Calibri"/>
                <w:lang w:val="fr-FR"/>
              </w:rPr>
            </w:pPr>
            <w:r w:rsidRPr="00567F5C">
              <w:rPr>
                <w:rFonts w:ascii="Calibri" w:hAnsi="Calibri" w:cs="Calibri"/>
                <w:lang w:val="fr-FR"/>
              </w:rPr>
              <w:t>Minimum revenue (Enter minimum revenue)</w:t>
            </w:r>
          </w:p>
        </w:tc>
        <w:tc>
          <w:tcPr>
            <w:tcW w:w="4983" w:type="dxa"/>
            <w:gridSpan w:val="5"/>
            <w:vAlign w:val="center"/>
          </w:tcPr>
          <w:p w14:paraId="7AD6A409" w14:textId="77777777" w:rsidR="00092534" w:rsidRPr="00567F5C"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2C053A6C" w:rsidR="00D4323A" w:rsidRPr="00CF2E7C" w:rsidRDefault="00805661" w:rsidP="00CF2E7C">
            <w:pPr>
              <w:rPr>
                <w:rFonts w:ascii="Calibri" w:hAnsi="Calibri" w:cs="Calibri"/>
              </w:rPr>
            </w:pPr>
            <w:r>
              <w:rPr>
                <w:rFonts w:ascii="Calibri" w:hAnsi="Calibri" w:cs="Calibri"/>
              </w:rPr>
              <w:t>X</w:t>
            </w:r>
          </w:p>
        </w:tc>
      </w:tr>
      <w:tr w:rsidR="00805661" w:rsidRPr="009C4D10" w14:paraId="2E8BFB98" w14:textId="77777777" w:rsidTr="0026138F">
        <w:trPr>
          <w:trHeight w:val="24"/>
        </w:trPr>
        <w:tc>
          <w:tcPr>
            <w:tcW w:w="1065" w:type="dxa"/>
            <w:vAlign w:val="center"/>
          </w:tcPr>
          <w:p w14:paraId="2289F8A3" w14:textId="48A6FE43" w:rsidR="00805661" w:rsidRPr="00CF2E7C" w:rsidRDefault="00805661" w:rsidP="00805661">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805661" w:rsidRPr="00CF2E7C" w:rsidRDefault="00805661" w:rsidP="00805661">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805661" w:rsidRPr="00CF2E7C" w:rsidRDefault="00805661" w:rsidP="00805661">
            <w:pPr>
              <w:rPr>
                <w:rFonts w:ascii="Calibri" w:hAnsi="Calibri" w:cs="Calibri"/>
              </w:rPr>
            </w:pPr>
          </w:p>
        </w:tc>
        <w:tc>
          <w:tcPr>
            <w:tcW w:w="1455" w:type="dxa"/>
            <w:gridSpan w:val="2"/>
            <w:vAlign w:val="center"/>
          </w:tcPr>
          <w:p w14:paraId="3C9FD41A" w14:textId="77777777" w:rsidR="00805661" w:rsidRPr="00CF2E7C" w:rsidRDefault="00805661" w:rsidP="00805661">
            <w:pPr>
              <w:rPr>
                <w:rFonts w:ascii="Calibri" w:hAnsi="Calibri" w:cs="Calibri"/>
              </w:rPr>
            </w:pPr>
          </w:p>
        </w:tc>
        <w:tc>
          <w:tcPr>
            <w:tcW w:w="1505" w:type="dxa"/>
          </w:tcPr>
          <w:p w14:paraId="5A98AF5A" w14:textId="15F4AAAB" w:rsidR="00805661" w:rsidRPr="00CF2E7C" w:rsidRDefault="00805661" w:rsidP="00805661">
            <w:pPr>
              <w:rPr>
                <w:rFonts w:ascii="Calibri" w:hAnsi="Calibri" w:cs="Calibri"/>
              </w:rPr>
            </w:pPr>
            <w:r w:rsidRPr="00896E7A">
              <w:t>X</w:t>
            </w:r>
          </w:p>
        </w:tc>
      </w:tr>
      <w:tr w:rsidR="00805661" w:rsidRPr="009C4D10" w14:paraId="43F20BEC" w14:textId="77777777" w:rsidTr="0026138F">
        <w:trPr>
          <w:trHeight w:val="24"/>
        </w:trPr>
        <w:tc>
          <w:tcPr>
            <w:tcW w:w="1065" w:type="dxa"/>
            <w:vAlign w:val="center"/>
          </w:tcPr>
          <w:p w14:paraId="4B3FBF46" w14:textId="06B86D20" w:rsidR="00805661" w:rsidRPr="00CF2E7C" w:rsidRDefault="00805661" w:rsidP="00805661">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805661" w:rsidRPr="00CF2E7C" w:rsidRDefault="00805661" w:rsidP="00805661">
            <w:pPr>
              <w:rPr>
                <w:rFonts w:ascii="Calibri" w:hAnsi="Calibri" w:cs="Calibri"/>
              </w:rPr>
            </w:pPr>
            <w:r w:rsidRPr="00CF2E7C">
              <w:rPr>
                <w:rFonts w:ascii="Calibri" w:hAnsi="Calibri" w:cs="Calibri"/>
              </w:rPr>
              <w:t>Financial institutions</w:t>
            </w:r>
          </w:p>
        </w:tc>
        <w:tc>
          <w:tcPr>
            <w:tcW w:w="1456" w:type="dxa"/>
            <w:vAlign w:val="center"/>
          </w:tcPr>
          <w:p w14:paraId="101E5425" w14:textId="73804910" w:rsidR="00805661" w:rsidRPr="00CF2E7C" w:rsidRDefault="00805661" w:rsidP="00805661">
            <w:pPr>
              <w:rPr>
                <w:rFonts w:ascii="Calibri" w:hAnsi="Calibri" w:cs="Calibri"/>
              </w:rPr>
            </w:pPr>
            <w:r>
              <w:rPr>
                <w:rFonts w:ascii="Calibri" w:hAnsi="Calibri" w:cs="Calibri"/>
              </w:rPr>
              <w:t>X</w:t>
            </w:r>
          </w:p>
        </w:tc>
        <w:tc>
          <w:tcPr>
            <w:tcW w:w="1455" w:type="dxa"/>
            <w:gridSpan w:val="2"/>
            <w:vAlign w:val="center"/>
          </w:tcPr>
          <w:p w14:paraId="768ED678" w14:textId="77777777" w:rsidR="00805661" w:rsidRPr="00CF2E7C" w:rsidRDefault="00805661" w:rsidP="00805661">
            <w:pPr>
              <w:rPr>
                <w:rFonts w:ascii="Calibri" w:hAnsi="Calibri" w:cs="Calibri"/>
              </w:rPr>
            </w:pPr>
          </w:p>
        </w:tc>
        <w:tc>
          <w:tcPr>
            <w:tcW w:w="1505" w:type="dxa"/>
          </w:tcPr>
          <w:p w14:paraId="60C6C14A" w14:textId="6CBEEC68" w:rsidR="00805661" w:rsidRPr="00CF2E7C" w:rsidRDefault="00805661" w:rsidP="00805661">
            <w:pPr>
              <w:rPr>
                <w:rFonts w:ascii="Calibri" w:hAnsi="Calibri" w:cs="Calibri"/>
              </w:rPr>
            </w:pPr>
          </w:p>
        </w:tc>
      </w:tr>
      <w:tr w:rsidR="00805661" w:rsidRPr="009C4D10" w14:paraId="7CCA8B79" w14:textId="77777777" w:rsidTr="0026138F">
        <w:trPr>
          <w:trHeight w:val="24"/>
        </w:trPr>
        <w:tc>
          <w:tcPr>
            <w:tcW w:w="1065" w:type="dxa"/>
            <w:vAlign w:val="center"/>
          </w:tcPr>
          <w:p w14:paraId="37C046FC" w14:textId="53C49594" w:rsidR="00805661" w:rsidRPr="00CF2E7C" w:rsidRDefault="00805661" w:rsidP="00805661">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805661" w:rsidRPr="00CF2E7C" w:rsidRDefault="00805661" w:rsidP="00805661">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805661" w:rsidRPr="00CF2E7C" w:rsidRDefault="00805661" w:rsidP="00805661">
            <w:pPr>
              <w:rPr>
                <w:rFonts w:ascii="Calibri" w:hAnsi="Calibri" w:cs="Calibri"/>
              </w:rPr>
            </w:pPr>
          </w:p>
        </w:tc>
        <w:tc>
          <w:tcPr>
            <w:tcW w:w="1455" w:type="dxa"/>
            <w:gridSpan w:val="2"/>
            <w:vAlign w:val="center"/>
          </w:tcPr>
          <w:p w14:paraId="4902C0E0" w14:textId="77777777" w:rsidR="00805661" w:rsidRPr="00CF2E7C" w:rsidRDefault="00805661" w:rsidP="00805661">
            <w:pPr>
              <w:rPr>
                <w:rFonts w:ascii="Calibri" w:hAnsi="Calibri" w:cs="Calibri"/>
              </w:rPr>
            </w:pPr>
          </w:p>
        </w:tc>
        <w:tc>
          <w:tcPr>
            <w:tcW w:w="1505" w:type="dxa"/>
          </w:tcPr>
          <w:p w14:paraId="09AE3F99" w14:textId="611C50CA" w:rsidR="00805661" w:rsidRPr="00CF2E7C" w:rsidRDefault="00805661" w:rsidP="00805661">
            <w:pPr>
              <w:rPr>
                <w:rFonts w:ascii="Calibri" w:hAnsi="Calibri" w:cs="Calibri"/>
              </w:rPr>
            </w:pPr>
            <w:r w:rsidRPr="00896E7A">
              <w:t>X</w:t>
            </w:r>
          </w:p>
        </w:tc>
      </w:tr>
      <w:tr w:rsidR="00805661" w:rsidRPr="009C4D10" w14:paraId="7E6D8DB7" w14:textId="77777777" w:rsidTr="0026138F">
        <w:trPr>
          <w:trHeight w:val="24"/>
        </w:trPr>
        <w:tc>
          <w:tcPr>
            <w:tcW w:w="1065" w:type="dxa"/>
            <w:vAlign w:val="center"/>
          </w:tcPr>
          <w:p w14:paraId="01559852" w14:textId="4E391D88" w:rsidR="00805661" w:rsidRPr="00CF2E7C" w:rsidRDefault="00805661" w:rsidP="00805661">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805661" w:rsidRPr="00CF2E7C" w:rsidRDefault="00805661" w:rsidP="00805661">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805661" w:rsidRPr="00CF2E7C" w:rsidRDefault="00805661" w:rsidP="00805661">
            <w:pPr>
              <w:rPr>
                <w:rFonts w:ascii="Calibri" w:hAnsi="Calibri" w:cs="Calibri"/>
              </w:rPr>
            </w:pPr>
          </w:p>
        </w:tc>
        <w:tc>
          <w:tcPr>
            <w:tcW w:w="1455" w:type="dxa"/>
            <w:gridSpan w:val="2"/>
            <w:vAlign w:val="center"/>
          </w:tcPr>
          <w:p w14:paraId="6CA5E6D4" w14:textId="77777777" w:rsidR="00805661" w:rsidRPr="00CF2E7C" w:rsidRDefault="00805661" w:rsidP="00805661">
            <w:pPr>
              <w:rPr>
                <w:rFonts w:ascii="Calibri" w:hAnsi="Calibri" w:cs="Calibri"/>
              </w:rPr>
            </w:pPr>
          </w:p>
        </w:tc>
        <w:tc>
          <w:tcPr>
            <w:tcW w:w="1505" w:type="dxa"/>
          </w:tcPr>
          <w:p w14:paraId="3395370C" w14:textId="165444E1" w:rsidR="00805661" w:rsidRPr="00CF2E7C" w:rsidRDefault="00805661" w:rsidP="00805661">
            <w:pPr>
              <w:rPr>
                <w:rFonts w:ascii="Calibri" w:hAnsi="Calibri" w:cs="Calibri"/>
              </w:rPr>
            </w:pPr>
            <w:r w:rsidRPr="00896E7A">
              <w:t>X</w:t>
            </w:r>
          </w:p>
        </w:tc>
      </w:tr>
      <w:tr w:rsidR="00805661" w:rsidRPr="009C4D10" w14:paraId="79ED0E10" w14:textId="77777777" w:rsidTr="0026138F">
        <w:trPr>
          <w:trHeight w:val="300"/>
        </w:trPr>
        <w:tc>
          <w:tcPr>
            <w:tcW w:w="1065" w:type="dxa"/>
            <w:vAlign w:val="center"/>
          </w:tcPr>
          <w:p w14:paraId="4BE294D3" w14:textId="36E58011" w:rsidR="00805661" w:rsidRPr="00CF2E7C" w:rsidRDefault="00805661" w:rsidP="0080566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805661" w:rsidRPr="00CF2E7C" w:rsidRDefault="00805661" w:rsidP="00805661">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805661" w:rsidRPr="00CF2E7C" w:rsidRDefault="00805661" w:rsidP="00805661">
            <w:pPr>
              <w:rPr>
                <w:rFonts w:ascii="Calibri" w:hAnsi="Calibri" w:cs="Calibri"/>
              </w:rPr>
            </w:pPr>
          </w:p>
        </w:tc>
        <w:tc>
          <w:tcPr>
            <w:tcW w:w="1455" w:type="dxa"/>
            <w:gridSpan w:val="2"/>
            <w:vAlign w:val="center"/>
          </w:tcPr>
          <w:p w14:paraId="4035B265" w14:textId="77777777" w:rsidR="00805661" w:rsidRPr="00CF2E7C" w:rsidRDefault="00805661" w:rsidP="00805661">
            <w:pPr>
              <w:rPr>
                <w:rFonts w:ascii="Calibri" w:hAnsi="Calibri" w:cs="Calibri"/>
              </w:rPr>
            </w:pPr>
          </w:p>
        </w:tc>
        <w:tc>
          <w:tcPr>
            <w:tcW w:w="1505" w:type="dxa"/>
          </w:tcPr>
          <w:p w14:paraId="6709B18B" w14:textId="39E32A01" w:rsidR="00805661" w:rsidRPr="00CF2E7C" w:rsidRDefault="00805661" w:rsidP="00805661">
            <w:pPr>
              <w:rPr>
                <w:rFonts w:ascii="Calibri" w:hAnsi="Calibri" w:cs="Calibri"/>
              </w:rPr>
            </w:pPr>
            <w:r w:rsidRPr="00896E7A">
              <w:t>X</w:t>
            </w:r>
          </w:p>
        </w:tc>
      </w:tr>
      <w:tr w:rsidR="00805661" w:rsidRPr="009C4D10" w14:paraId="6E1F1A41" w14:textId="77777777" w:rsidTr="0026138F">
        <w:trPr>
          <w:trHeight w:val="24"/>
        </w:trPr>
        <w:tc>
          <w:tcPr>
            <w:tcW w:w="1065" w:type="dxa"/>
            <w:vAlign w:val="center"/>
          </w:tcPr>
          <w:p w14:paraId="16418396" w14:textId="4F23F845" w:rsidR="00805661" w:rsidRPr="00CF2E7C" w:rsidRDefault="00805661" w:rsidP="00805661">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805661" w:rsidRPr="00CF2E7C" w:rsidRDefault="00805661" w:rsidP="00805661">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805661" w:rsidRPr="00CF2E7C" w:rsidRDefault="00805661" w:rsidP="00805661">
            <w:pPr>
              <w:rPr>
                <w:rFonts w:ascii="Calibri" w:hAnsi="Calibri" w:cs="Calibri"/>
              </w:rPr>
            </w:pPr>
          </w:p>
        </w:tc>
        <w:tc>
          <w:tcPr>
            <w:tcW w:w="1455" w:type="dxa"/>
            <w:gridSpan w:val="2"/>
            <w:vAlign w:val="center"/>
          </w:tcPr>
          <w:p w14:paraId="22BF6C29" w14:textId="77777777" w:rsidR="00805661" w:rsidRPr="00CF2E7C" w:rsidRDefault="00805661" w:rsidP="00805661">
            <w:pPr>
              <w:rPr>
                <w:rFonts w:ascii="Calibri" w:hAnsi="Calibri" w:cs="Calibri"/>
              </w:rPr>
            </w:pPr>
          </w:p>
        </w:tc>
        <w:tc>
          <w:tcPr>
            <w:tcW w:w="1505" w:type="dxa"/>
          </w:tcPr>
          <w:p w14:paraId="24A5223C" w14:textId="5ACF4007" w:rsidR="00805661" w:rsidRPr="00CF2E7C" w:rsidRDefault="00805661" w:rsidP="00805661">
            <w:pPr>
              <w:rPr>
                <w:rFonts w:ascii="Calibri" w:hAnsi="Calibri" w:cs="Calibri"/>
              </w:rPr>
            </w:pPr>
            <w:r w:rsidRPr="00896E7A">
              <w:t>X</w:t>
            </w:r>
          </w:p>
        </w:tc>
      </w:tr>
      <w:tr w:rsidR="00805661" w:rsidRPr="009C4D10" w14:paraId="719820F8" w14:textId="77777777" w:rsidTr="0026138F">
        <w:trPr>
          <w:trHeight w:val="300"/>
        </w:trPr>
        <w:tc>
          <w:tcPr>
            <w:tcW w:w="1065" w:type="dxa"/>
            <w:vAlign w:val="center"/>
          </w:tcPr>
          <w:p w14:paraId="3A3F343D" w14:textId="5FF435E2" w:rsidR="00805661" w:rsidRPr="00CF2E7C" w:rsidRDefault="00805661" w:rsidP="00805661">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805661" w:rsidRPr="00CF2E7C" w:rsidRDefault="00805661" w:rsidP="00805661">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805661" w:rsidRPr="00CF2E7C" w:rsidRDefault="00805661" w:rsidP="00805661">
            <w:pPr>
              <w:rPr>
                <w:rFonts w:ascii="Calibri" w:hAnsi="Calibri" w:cs="Calibri"/>
              </w:rPr>
            </w:pPr>
          </w:p>
        </w:tc>
        <w:tc>
          <w:tcPr>
            <w:tcW w:w="1455" w:type="dxa"/>
            <w:gridSpan w:val="2"/>
            <w:vAlign w:val="center"/>
          </w:tcPr>
          <w:p w14:paraId="4E9DEEA5" w14:textId="77777777" w:rsidR="00805661" w:rsidRPr="00CF2E7C" w:rsidRDefault="00805661" w:rsidP="00805661">
            <w:pPr>
              <w:rPr>
                <w:rFonts w:ascii="Calibri" w:hAnsi="Calibri" w:cs="Calibri"/>
              </w:rPr>
            </w:pPr>
          </w:p>
        </w:tc>
        <w:tc>
          <w:tcPr>
            <w:tcW w:w="1505" w:type="dxa"/>
          </w:tcPr>
          <w:p w14:paraId="1BD9121A" w14:textId="5BD83A50" w:rsidR="00805661" w:rsidRPr="00CF2E7C" w:rsidRDefault="00805661" w:rsidP="00805661">
            <w:pPr>
              <w:rPr>
                <w:rFonts w:ascii="Calibri" w:hAnsi="Calibri" w:cs="Calibri"/>
              </w:rPr>
            </w:pPr>
            <w:r w:rsidRPr="00896E7A">
              <w:t>X</w:t>
            </w:r>
          </w:p>
        </w:tc>
      </w:tr>
      <w:tr w:rsidR="00805661" w:rsidRPr="009C4D10" w14:paraId="17DAFD7B" w14:textId="77777777" w:rsidTr="0026138F">
        <w:trPr>
          <w:trHeight w:val="300"/>
        </w:trPr>
        <w:tc>
          <w:tcPr>
            <w:tcW w:w="1065" w:type="dxa"/>
            <w:vAlign w:val="center"/>
          </w:tcPr>
          <w:p w14:paraId="7435CCC4" w14:textId="7751F044" w:rsidR="00805661" w:rsidRPr="00CF2E7C" w:rsidRDefault="00805661" w:rsidP="00805661">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805661" w:rsidRPr="00CF2E7C" w:rsidRDefault="00805661" w:rsidP="00805661">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805661" w:rsidRPr="00CF2E7C" w:rsidRDefault="00805661" w:rsidP="00805661">
            <w:pPr>
              <w:rPr>
                <w:rFonts w:ascii="Calibri" w:hAnsi="Calibri" w:cs="Calibri"/>
              </w:rPr>
            </w:pPr>
          </w:p>
        </w:tc>
        <w:tc>
          <w:tcPr>
            <w:tcW w:w="1455" w:type="dxa"/>
            <w:gridSpan w:val="2"/>
            <w:vAlign w:val="center"/>
          </w:tcPr>
          <w:p w14:paraId="5AC2C5A5" w14:textId="77777777" w:rsidR="00805661" w:rsidRPr="00CF2E7C" w:rsidRDefault="00805661" w:rsidP="00805661">
            <w:pPr>
              <w:rPr>
                <w:rFonts w:ascii="Calibri" w:hAnsi="Calibri" w:cs="Calibri"/>
              </w:rPr>
            </w:pPr>
          </w:p>
        </w:tc>
        <w:tc>
          <w:tcPr>
            <w:tcW w:w="1505" w:type="dxa"/>
          </w:tcPr>
          <w:p w14:paraId="7D2537CF" w14:textId="1141ECE0" w:rsidR="00805661" w:rsidRPr="00CF2E7C" w:rsidRDefault="00805661" w:rsidP="00805661">
            <w:pPr>
              <w:rPr>
                <w:rFonts w:ascii="Calibri" w:hAnsi="Calibri" w:cs="Calibri"/>
              </w:rPr>
            </w:pPr>
            <w:r w:rsidRPr="00896E7A">
              <w:t>X</w:t>
            </w:r>
          </w:p>
        </w:tc>
      </w:tr>
      <w:tr w:rsidR="00805661" w:rsidRPr="009C4D10" w14:paraId="79E37C47" w14:textId="77777777" w:rsidTr="0026138F">
        <w:trPr>
          <w:trHeight w:val="300"/>
        </w:trPr>
        <w:tc>
          <w:tcPr>
            <w:tcW w:w="1065" w:type="dxa"/>
            <w:vAlign w:val="center"/>
          </w:tcPr>
          <w:p w14:paraId="473B2622" w14:textId="38397B39" w:rsidR="00805661" w:rsidRPr="00CF2E7C" w:rsidRDefault="00805661" w:rsidP="00805661">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805661" w:rsidRPr="00CF2E7C" w:rsidRDefault="00805661" w:rsidP="00805661">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805661" w:rsidRPr="00CF2E7C" w:rsidRDefault="00805661" w:rsidP="00805661">
            <w:pPr>
              <w:rPr>
                <w:rFonts w:ascii="Calibri" w:hAnsi="Calibri" w:cs="Calibri"/>
              </w:rPr>
            </w:pPr>
          </w:p>
        </w:tc>
        <w:tc>
          <w:tcPr>
            <w:tcW w:w="1455" w:type="dxa"/>
            <w:gridSpan w:val="2"/>
            <w:vAlign w:val="center"/>
          </w:tcPr>
          <w:p w14:paraId="1D284466" w14:textId="77777777" w:rsidR="00805661" w:rsidRPr="00CF2E7C" w:rsidRDefault="00805661" w:rsidP="00805661">
            <w:pPr>
              <w:rPr>
                <w:rFonts w:ascii="Calibri" w:hAnsi="Calibri" w:cs="Calibri"/>
              </w:rPr>
            </w:pPr>
          </w:p>
        </w:tc>
        <w:tc>
          <w:tcPr>
            <w:tcW w:w="1505" w:type="dxa"/>
          </w:tcPr>
          <w:p w14:paraId="2CD4C703" w14:textId="292910BD" w:rsidR="00805661" w:rsidRPr="00CF2E7C" w:rsidRDefault="00805661" w:rsidP="00805661">
            <w:pPr>
              <w:rPr>
                <w:rFonts w:ascii="Calibri" w:hAnsi="Calibri" w:cs="Calibri"/>
              </w:rPr>
            </w:pPr>
            <w:r w:rsidRPr="00896E7A">
              <w:t>X</w:t>
            </w:r>
          </w:p>
        </w:tc>
      </w:tr>
      <w:tr w:rsidR="00805661" w:rsidRPr="009C4D10" w14:paraId="32DC1CDD" w14:textId="77777777" w:rsidTr="0026138F">
        <w:trPr>
          <w:trHeight w:val="300"/>
        </w:trPr>
        <w:tc>
          <w:tcPr>
            <w:tcW w:w="1065" w:type="dxa"/>
            <w:vAlign w:val="center"/>
          </w:tcPr>
          <w:p w14:paraId="2723A6DB" w14:textId="67A7AD21" w:rsidR="00805661" w:rsidRPr="00CF2E7C" w:rsidRDefault="00805661" w:rsidP="0080566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805661" w:rsidRPr="00CF2E7C" w:rsidRDefault="00805661" w:rsidP="00805661">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805661" w:rsidRPr="00CF2E7C" w:rsidRDefault="00805661" w:rsidP="00805661">
            <w:pPr>
              <w:rPr>
                <w:rFonts w:ascii="Calibri" w:hAnsi="Calibri" w:cs="Calibri"/>
              </w:rPr>
            </w:pPr>
          </w:p>
        </w:tc>
        <w:tc>
          <w:tcPr>
            <w:tcW w:w="1455" w:type="dxa"/>
            <w:gridSpan w:val="2"/>
            <w:vAlign w:val="center"/>
          </w:tcPr>
          <w:p w14:paraId="5A7414BC" w14:textId="77777777" w:rsidR="00805661" w:rsidRPr="00CF2E7C" w:rsidRDefault="00805661" w:rsidP="00805661">
            <w:pPr>
              <w:rPr>
                <w:rFonts w:ascii="Calibri" w:hAnsi="Calibri" w:cs="Calibri"/>
              </w:rPr>
            </w:pPr>
          </w:p>
        </w:tc>
        <w:tc>
          <w:tcPr>
            <w:tcW w:w="1505" w:type="dxa"/>
          </w:tcPr>
          <w:p w14:paraId="324C4411" w14:textId="2773E174" w:rsidR="00805661" w:rsidRPr="00CF2E7C" w:rsidRDefault="00805661" w:rsidP="00805661">
            <w:pPr>
              <w:rPr>
                <w:rFonts w:ascii="Calibri" w:hAnsi="Calibri" w:cs="Calibri"/>
              </w:rPr>
            </w:pPr>
            <w:r w:rsidRPr="00896E7A">
              <w:t>X</w:t>
            </w:r>
          </w:p>
        </w:tc>
      </w:tr>
      <w:tr w:rsidR="00805661" w:rsidRPr="009C4D10" w14:paraId="719D5881" w14:textId="77777777" w:rsidTr="0026138F">
        <w:trPr>
          <w:trHeight w:val="24"/>
        </w:trPr>
        <w:tc>
          <w:tcPr>
            <w:tcW w:w="1065" w:type="dxa"/>
            <w:vAlign w:val="center"/>
          </w:tcPr>
          <w:p w14:paraId="414C1836" w14:textId="32974EF8" w:rsidR="00805661" w:rsidRPr="00CF2E7C" w:rsidRDefault="00805661" w:rsidP="00805661">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805661" w:rsidRPr="00CF2E7C" w:rsidRDefault="00805661" w:rsidP="00805661">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805661" w:rsidRPr="00CF2E7C" w:rsidRDefault="00805661" w:rsidP="00805661">
            <w:pPr>
              <w:rPr>
                <w:rFonts w:ascii="Calibri" w:hAnsi="Calibri" w:cs="Calibri"/>
              </w:rPr>
            </w:pPr>
          </w:p>
        </w:tc>
        <w:tc>
          <w:tcPr>
            <w:tcW w:w="1455" w:type="dxa"/>
            <w:gridSpan w:val="2"/>
            <w:vAlign w:val="center"/>
          </w:tcPr>
          <w:p w14:paraId="52DD1FFC" w14:textId="77777777" w:rsidR="00805661" w:rsidRPr="00CF2E7C" w:rsidRDefault="00805661" w:rsidP="00805661">
            <w:pPr>
              <w:rPr>
                <w:rFonts w:ascii="Calibri" w:hAnsi="Calibri" w:cs="Calibri"/>
              </w:rPr>
            </w:pPr>
          </w:p>
        </w:tc>
        <w:tc>
          <w:tcPr>
            <w:tcW w:w="1505" w:type="dxa"/>
          </w:tcPr>
          <w:p w14:paraId="0820E928" w14:textId="239CDADC" w:rsidR="00805661" w:rsidRPr="00CF2E7C" w:rsidRDefault="00805661" w:rsidP="00805661">
            <w:pPr>
              <w:rPr>
                <w:rFonts w:ascii="Calibri" w:hAnsi="Calibri" w:cs="Calibri"/>
              </w:rPr>
            </w:pPr>
            <w:r w:rsidRPr="00896E7A">
              <w:t>X</w:t>
            </w:r>
          </w:p>
        </w:tc>
      </w:tr>
      <w:tr w:rsidR="00805661" w:rsidRPr="009C4D10" w14:paraId="048B2A89" w14:textId="77777777" w:rsidTr="0026138F">
        <w:trPr>
          <w:trHeight w:val="24"/>
        </w:trPr>
        <w:tc>
          <w:tcPr>
            <w:tcW w:w="1065" w:type="dxa"/>
            <w:vAlign w:val="center"/>
          </w:tcPr>
          <w:p w14:paraId="3C5936D0" w14:textId="05729924" w:rsidR="00805661" w:rsidRPr="00CF2E7C" w:rsidRDefault="00805661" w:rsidP="00805661">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805661" w:rsidRPr="00CF2E7C" w:rsidRDefault="00805661" w:rsidP="00805661">
            <w:pPr>
              <w:rPr>
                <w:rFonts w:ascii="Calibri" w:hAnsi="Calibri" w:cs="Calibri"/>
              </w:rPr>
            </w:pPr>
            <w:r w:rsidRPr="00CF2E7C">
              <w:rPr>
                <w:rFonts w:ascii="Calibri" w:hAnsi="Calibri" w:cs="Calibri"/>
              </w:rPr>
              <w:t>Other</w:t>
            </w:r>
          </w:p>
        </w:tc>
        <w:tc>
          <w:tcPr>
            <w:tcW w:w="1456" w:type="dxa"/>
            <w:vAlign w:val="center"/>
          </w:tcPr>
          <w:p w14:paraId="0AD5C2B3" w14:textId="77777777" w:rsidR="00805661" w:rsidRPr="00CF2E7C" w:rsidRDefault="00805661" w:rsidP="00805661">
            <w:pPr>
              <w:rPr>
                <w:rFonts w:ascii="Calibri" w:hAnsi="Calibri" w:cs="Calibri"/>
              </w:rPr>
            </w:pPr>
          </w:p>
        </w:tc>
        <w:tc>
          <w:tcPr>
            <w:tcW w:w="1455" w:type="dxa"/>
            <w:gridSpan w:val="2"/>
            <w:vAlign w:val="center"/>
          </w:tcPr>
          <w:p w14:paraId="459AF8B6" w14:textId="77777777" w:rsidR="00805661" w:rsidRPr="00CF2E7C" w:rsidRDefault="00805661" w:rsidP="00805661">
            <w:pPr>
              <w:rPr>
                <w:rFonts w:ascii="Calibri" w:hAnsi="Calibri" w:cs="Calibri"/>
              </w:rPr>
            </w:pPr>
          </w:p>
        </w:tc>
        <w:tc>
          <w:tcPr>
            <w:tcW w:w="1505" w:type="dxa"/>
          </w:tcPr>
          <w:p w14:paraId="654433FC" w14:textId="5384FAD8" w:rsidR="00805661" w:rsidRPr="00CF2E7C" w:rsidRDefault="00805661" w:rsidP="00805661">
            <w:pPr>
              <w:rPr>
                <w:rFonts w:ascii="Calibri" w:hAnsi="Calibri" w:cs="Calibri"/>
              </w:rPr>
            </w:pPr>
            <w:r w:rsidRPr="00896E7A">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25387D82">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1664BED2" w:rsidR="00DD292A" w:rsidRPr="00CF2E7C" w:rsidRDefault="00805661"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1D06C4E0"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0E6C44F5" w:rsidR="00DD292A" w:rsidRPr="00CF2E7C" w:rsidRDefault="000B7DDB" w:rsidP="00CF2E7C">
            <w:pPr>
              <w:rPr>
                <w:rFonts w:ascii="Calibri" w:hAnsi="Calibri" w:cs="Calibri"/>
              </w:rPr>
            </w:pPr>
            <w:r>
              <w:rPr>
                <w:rFonts w:ascii="Calibri" w:hAnsi="Calibri" w:cs="Calibri"/>
              </w:rPr>
              <w:t>X</w:t>
            </w:r>
          </w:p>
        </w:tc>
      </w:tr>
      <w:tr w:rsidR="00805661" w:rsidRPr="009C4D10" w14:paraId="16E91DFA" w14:textId="77777777" w:rsidTr="00576EE9">
        <w:trPr>
          <w:trHeight w:val="35"/>
        </w:trPr>
        <w:tc>
          <w:tcPr>
            <w:tcW w:w="1065" w:type="dxa"/>
            <w:vAlign w:val="center"/>
          </w:tcPr>
          <w:p w14:paraId="5770A979" w14:textId="3E8A8F56" w:rsidR="00805661" w:rsidRPr="00CF2E7C" w:rsidRDefault="00805661" w:rsidP="00805661">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805661" w:rsidRPr="00CF2E7C" w:rsidRDefault="00805661" w:rsidP="00805661">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805661" w:rsidRPr="00CF2E7C" w:rsidRDefault="00805661" w:rsidP="00805661">
            <w:pPr>
              <w:rPr>
                <w:rFonts w:ascii="Calibri" w:hAnsi="Calibri" w:cs="Calibri"/>
              </w:rPr>
            </w:pPr>
          </w:p>
        </w:tc>
        <w:tc>
          <w:tcPr>
            <w:tcW w:w="1455" w:type="dxa"/>
            <w:gridSpan w:val="2"/>
            <w:vAlign w:val="center"/>
          </w:tcPr>
          <w:p w14:paraId="4FF5C987" w14:textId="77777777" w:rsidR="00805661" w:rsidRPr="00CF2E7C" w:rsidRDefault="00805661" w:rsidP="00805661">
            <w:pPr>
              <w:rPr>
                <w:rFonts w:ascii="Calibri" w:hAnsi="Calibri" w:cs="Calibri"/>
              </w:rPr>
            </w:pPr>
          </w:p>
        </w:tc>
        <w:tc>
          <w:tcPr>
            <w:tcW w:w="1505" w:type="dxa"/>
          </w:tcPr>
          <w:p w14:paraId="2341305D" w14:textId="26551E58" w:rsidR="00805661" w:rsidRPr="00CF2E7C" w:rsidRDefault="00805661" w:rsidP="00805661">
            <w:pPr>
              <w:rPr>
                <w:rFonts w:ascii="Calibri" w:hAnsi="Calibri" w:cs="Calibri"/>
              </w:rPr>
            </w:pPr>
            <w:r w:rsidRPr="00992FEB">
              <w:t>X</w:t>
            </w:r>
          </w:p>
        </w:tc>
      </w:tr>
      <w:tr w:rsidR="00805661" w:rsidRPr="009C4D10" w14:paraId="6EA2AFE0" w14:textId="77777777" w:rsidTr="00576EE9">
        <w:trPr>
          <w:trHeight w:val="35"/>
        </w:trPr>
        <w:tc>
          <w:tcPr>
            <w:tcW w:w="1065" w:type="dxa"/>
            <w:vAlign w:val="center"/>
          </w:tcPr>
          <w:p w14:paraId="082FD086" w14:textId="0D756AE9" w:rsidR="00805661" w:rsidRPr="00CF2E7C" w:rsidRDefault="00805661" w:rsidP="00805661">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805661" w:rsidRPr="00CF2E7C" w:rsidRDefault="00805661" w:rsidP="00805661">
            <w:pPr>
              <w:rPr>
                <w:rFonts w:ascii="Calibri" w:hAnsi="Calibri" w:cs="Calibri"/>
              </w:rPr>
            </w:pPr>
            <w:r w:rsidRPr="00CF2E7C">
              <w:rPr>
                <w:rFonts w:ascii="Calibri" w:hAnsi="Calibri" w:cs="Calibri"/>
              </w:rPr>
              <w:t>Asset Managers</w:t>
            </w:r>
          </w:p>
        </w:tc>
        <w:tc>
          <w:tcPr>
            <w:tcW w:w="1456" w:type="dxa"/>
            <w:vAlign w:val="center"/>
          </w:tcPr>
          <w:p w14:paraId="3BA0C0E8" w14:textId="77777777" w:rsidR="00805661" w:rsidRPr="00CF2E7C" w:rsidRDefault="00805661" w:rsidP="00805661">
            <w:pPr>
              <w:rPr>
                <w:rFonts w:ascii="Calibri" w:hAnsi="Calibri" w:cs="Calibri"/>
              </w:rPr>
            </w:pPr>
          </w:p>
        </w:tc>
        <w:tc>
          <w:tcPr>
            <w:tcW w:w="1455" w:type="dxa"/>
            <w:gridSpan w:val="2"/>
            <w:vAlign w:val="center"/>
          </w:tcPr>
          <w:p w14:paraId="21154B2A" w14:textId="77777777" w:rsidR="00805661" w:rsidRPr="00CF2E7C" w:rsidRDefault="00805661" w:rsidP="00805661">
            <w:pPr>
              <w:rPr>
                <w:rFonts w:ascii="Calibri" w:hAnsi="Calibri" w:cs="Calibri"/>
              </w:rPr>
            </w:pPr>
          </w:p>
        </w:tc>
        <w:tc>
          <w:tcPr>
            <w:tcW w:w="1505" w:type="dxa"/>
          </w:tcPr>
          <w:p w14:paraId="48F15DA7" w14:textId="2A79CB8B" w:rsidR="00805661" w:rsidRPr="00CF2E7C" w:rsidRDefault="00805661" w:rsidP="00805661">
            <w:pPr>
              <w:rPr>
                <w:rFonts w:ascii="Calibri" w:hAnsi="Calibri" w:cs="Calibri"/>
              </w:rPr>
            </w:pPr>
            <w:r w:rsidRPr="00992FEB">
              <w:t>X</w:t>
            </w:r>
          </w:p>
        </w:tc>
      </w:tr>
      <w:tr w:rsidR="00805661" w:rsidRPr="009C4D10" w14:paraId="33CFEA62" w14:textId="77777777" w:rsidTr="00576EE9">
        <w:trPr>
          <w:trHeight w:val="35"/>
        </w:trPr>
        <w:tc>
          <w:tcPr>
            <w:tcW w:w="1065" w:type="dxa"/>
            <w:vAlign w:val="center"/>
          </w:tcPr>
          <w:p w14:paraId="724206E7" w14:textId="61AEAC7E" w:rsidR="00805661" w:rsidRPr="00CF2E7C" w:rsidRDefault="00805661" w:rsidP="00805661">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805661" w:rsidRPr="00CF2E7C" w:rsidRDefault="00805661" w:rsidP="00805661">
            <w:pPr>
              <w:rPr>
                <w:rFonts w:ascii="Calibri" w:hAnsi="Calibri" w:cs="Calibri"/>
              </w:rPr>
            </w:pPr>
            <w:r w:rsidRPr="00CF2E7C">
              <w:rPr>
                <w:rFonts w:ascii="Calibri" w:hAnsi="Calibri" w:cs="Calibri"/>
              </w:rPr>
              <w:t>Pension Funds</w:t>
            </w:r>
          </w:p>
        </w:tc>
        <w:tc>
          <w:tcPr>
            <w:tcW w:w="1456" w:type="dxa"/>
            <w:vAlign w:val="center"/>
          </w:tcPr>
          <w:p w14:paraId="7A479C51" w14:textId="77777777" w:rsidR="00805661" w:rsidRPr="00CF2E7C" w:rsidRDefault="00805661" w:rsidP="00805661">
            <w:pPr>
              <w:rPr>
                <w:rFonts w:ascii="Calibri" w:hAnsi="Calibri" w:cs="Calibri"/>
              </w:rPr>
            </w:pPr>
          </w:p>
        </w:tc>
        <w:tc>
          <w:tcPr>
            <w:tcW w:w="1455" w:type="dxa"/>
            <w:gridSpan w:val="2"/>
            <w:vAlign w:val="center"/>
          </w:tcPr>
          <w:p w14:paraId="2844CBF5" w14:textId="77777777" w:rsidR="00805661" w:rsidRPr="00CF2E7C" w:rsidRDefault="00805661" w:rsidP="00805661">
            <w:pPr>
              <w:rPr>
                <w:rFonts w:ascii="Calibri" w:hAnsi="Calibri" w:cs="Calibri"/>
              </w:rPr>
            </w:pPr>
          </w:p>
        </w:tc>
        <w:tc>
          <w:tcPr>
            <w:tcW w:w="1505" w:type="dxa"/>
          </w:tcPr>
          <w:p w14:paraId="72514BA5" w14:textId="1D826878" w:rsidR="00805661" w:rsidRPr="00CF2E7C" w:rsidRDefault="00805661" w:rsidP="00805661">
            <w:pPr>
              <w:rPr>
                <w:rFonts w:ascii="Calibri" w:hAnsi="Calibri" w:cs="Calibri"/>
              </w:rPr>
            </w:pPr>
            <w:r w:rsidRPr="00992FEB">
              <w:t>X</w:t>
            </w:r>
          </w:p>
        </w:tc>
      </w:tr>
      <w:tr w:rsidR="00805661" w:rsidRPr="009C4D10" w14:paraId="7B9E143E" w14:textId="77777777" w:rsidTr="00576EE9">
        <w:trPr>
          <w:trHeight w:val="35"/>
        </w:trPr>
        <w:tc>
          <w:tcPr>
            <w:tcW w:w="1065" w:type="dxa"/>
            <w:vAlign w:val="center"/>
          </w:tcPr>
          <w:p w14:paraId="4A5F8BBD" w14:textId="56EA27A6" w:rsidR="00805661" w:rsidRPr="00CF2E7C" w:rsidRDefault="00805661" w:rsidP="00805661">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805661" w:rsidRPr="00CF2E7C" w:rsidRDefault="00805661" w:rsidP="00805661">
            <w:pPr>
              <w:rPr>
                <w:rFonts w:ascii="Calibri" w:hAnsi="Calibri" w:cs="Calibri"/>
              </w:rPr>
            </w:pPr>
            <w:r w:rsidRPr="00CF2E7C">
              <w:rPr>
                <w:rFonts w:ascii="Calibri" w:hAnsi="Calibri" w:cs="Calibri"/>
              </w:rPr>
              <w:t>Other</w:t>
            </w:r>
          </w:p>
        </w:tc>
        <w:tc>
          <w:tcPr>
            <w:tcW w:w="1456" w:type="dxa"/>
            <w:vAlign w:val="center"/>
          </w:tcPr>
          <w:p w14:paraId="3C341D29" w14:textId="47A7FFF4" w:rsidR="00805661" w:rsidRPr="00CF2E7C" w:rsidRDefault="000B7DDB" w:rsidP="00805661">
            <w:pPr>
              <w:rPr>
                <w:rFonts w:ascii="Calibri" w:hAnsi="Calibri" w:cs="Calibri"/>
              </w:rPr>
            </w:pPr>
            <w:r>
              <w:rPr>
                <w:rFonts w:ascii="Calibri" w:hAnsi="Calibri" w:cs="Calibri"/>
              </w:rPr>
              <w:t>X</w:t>
            </w:r>
          </w:p>
        </w:tc>
        <w:tc>
          <w:tcPr>
            <w:tcW w:w="1455" w:type="dxa"/>
            <w:gridSpan w:val="2"/>
            <w:vAlign w:val="center"/>
          </w:tcPr>
          <w:p w14:paraId="364F7D9F" w14:textId="77777777" w:rsidR="00805661" w:rsidRPr="00CF2E7C" w:rsidRDefault="00805661" w:rsidP="00805661">
            <w:pPr>
              <w:rPr>
                <w:rFonts w:ascii="Calibri" w:hAnsi="Calibri" w:cs="Calibri"/>
              </w:rPr>
            </w:pPr>
          </w:p>
        </w:tc>
        <w:tc>
          <w:tcPr>
            <w:tcW w:w="1505" w:type="dxa"/>
          </w:tcPr>
          <w:p w14:paraId="2292FA6E" w14:textId="1312FF79" w:rsidR="00805661" w:rsidRPr="00CF2E7C" w:rsidRDefault="00805661" w:rsidP="00805661">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25387D82">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4E6CBA5D" w:rsidR="00DD292A" w:rsidRPr="00CF2E7C" w:rsidRDefault="35B2AECA" w:rsidP="00CF2E7C">
            <w:pPr>
              <w:rPr>
                <w:rFonts w:ascii="Calibri" w:hAnsi="Calibri" w:cs="Calibri"/>
              </w:rPr>
            </w:pPr>
            <w:r w:rsidRPr="25387D82">
              <w:rPr>
                <w:rFonts w:ascii="Calibri" w:hAnsi="Calibri" w:cs="Calibri"/>
              </w:rPr>
              <w:t>This Directive applies to investment</w:t>
            </w:r>
            <w:r>
              <w:t xml:space="preserve"> </w:t>
            </w:r>
            <w:r w:rsidRPr="25387D82">
              <w:rPr>
                <w:rFonts w:ascii="Calibri" w:hAnsi="Calibri" w:cs="Calibri"/>
              </w:rPr>
              <w:t>firms authorised and supervised under Directive 2014/65/EU (MiFID).</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27BB903B"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6198EC84"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25387D82">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25387D82">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25387D82">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F0609F" w14:paraId="7A547042" w14:textId="77777777" w:rsidTr="25387D82">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567F5C" w:rsidRDefault="00DD292A" w:rsidP="00CF2E7C">
            <w:pPr>
              <w:rPr>
                <w:rFonts w:ascii="Calibri" w:hAnsi="Calibri" w:cs="Calibri"/>
                <w:lang w:val="fr-FR"/>
              </w:rPr>
            </w:pPr>
            <w:r w:rsidRPr="00567F5C">
              <w:rPr>
                <w:rFonts w:ascii="Calibri" w:hAnsi="Calibri" w:cs="Calibri"/>
                <w:lang w:val="fr-FR"/>
              </w:rPr>
              <w:t>Minimum revenue (Enter minimum revenue)</w:t>
            </w:r>
          </w:p>
        </w:tc>
        <w:tc>
          <w:tcPr>
            <w:tcW w:w="4993" w:type="dxa"/>
            <w:gridSpan w:val="6"/>
            <w:vAlign w:val="center"/>
          </w:tcPr>
          <w:p w14:paraId="5A15330D" w14:textId="77777777" w:rsidR="00DD292A" w:rsidRPr="00567F5C" w:rsidRDefault="00DD292A" w:rsidP="00CF2E7C">
            <w:pPr>
              <w:rPr>
                <w:rFonts w:ascii="Calibri" w:hAnsi="Calibri" w:cs="Calibri"/>
                <w:lang w:val="fr-FR"/>
              </w:rPr>
            </w:pPr>
          </w:p>
        </w:tc>
      </w:tr>
      <w:tr w:rsidR="00DD292A" w:rsidRPr="006840CD" w14:paraId="7FB41779" w14:textId="77777777" w:rsidTr="25387D82">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25387D82">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25387D82">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25387D82">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3768F2CA" w:rsidR="00DD292A" w:rsidRPr="00CF2E7C" w:rsidRDefault="00BA07C7" w:rsidP="009E6334">
            <w:pPr>
              <w:rPr>
                <w:rFonts w:ascii="Calibri" w:hAnsi="Calibri" w:cs="Calibri"/>
              </w:rPr>
            </w:pPr>
            <w:r w:rsidRPr="00BA07C7">
              <w:rPr>
                <w:rFonts w:ascii="Calibri" w:hAnsi="Calibri" w:cs="Calibri"/>
              </w:rPr>
              <w:t>This Directive applies to investme</w:t>
            </w:r>
            <w:r w:rsidR="002067DF">
              <w:rPr>
                <w:rFonts w:ascii="Calibri" w:hAnsi="Calibri" w:cs="Calibri"/>
              </w:rPr>
              <w:t>nt</w:t>
            </w:r>
            <w:r w:rsidR="009E6334">
              <w:t xml:space="preserve"> </w:t>
            </w:r>
            <w:r w:rsidR="009E6334" w:rsidRPr="009E6334">
              <w:rPr>
                <w:rFonts w:ascii="Calibri" w:hAnsi="Calibri" w:cs="Calibri"/>
              </w:rPr>
              <w:t>firms</w:t>
            </w:r>
            <w:r w:rsidR="009E6334">
              <w:rPr>
                <w:rFonts w:ascii="Calibri" w:hAnsi="Calibri" w:cs="Calibri"/>
              </w:rPr>
              <w:t xml:space="preserve"> </w:t>
            </w:r>
            <w:r w:rsidR="009E6334" w:rsidRPr="009E6334">
              <w:rPr>
                <w:rFonts w:ascii="Calibri" w:hAnsi="Calibri" w:cs="Calibri"/>
              </w:rPr>
              <w:t>authorised and supervised under Directive 2014/65/EU</w:t>
            </w:r>
            <w:r w:rsidR="009E6334">
              <w:rPr>
                <w:rFonts w:ascii="Calibri" w:hAnsi="Calibri" w:cs="Calibri"/>
              </w:rPr>
              <w:t xml:space="preserve"> (MiFID).</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25387D82">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285F22D1" w:rsidR="00DD292A" w:rsidRPr="00CF2E7C" w:rsidRDefault="009E6334" w:rsidP="00CF2E7C">
            <w:pPr>
              <w:rPr>
                <w:rFonts w:ascii="Calibri" w:hAnsi="Calibri" w:cs="Calibri"/>
              </w:rPr>
            </w:pPr>
            <w:r>
              <w:rPr>
                <w:rFonts w:ascii="Calibri" w:hAnsi="Calibri" w:cs="Calibri"/>
              </w:rPr>
              <w:t>X</w:t>
            </w:r>
          </w:p>
        </w:tc>
      </w:tr>
      <w:tr w:rsidR="00DD292A" w:rsidRPr="009C4D10" w14:paraId="4F91F2AD" w14:textId="77777777" w:rsidTr="25387D82">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25387D82">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25387D82">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05D306DD" w:rsidR="00DD3B33" w:rsidRPr="00CF2E7C" w:rsidRDefault="00360B27"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0BBB0BD4" w:rsidR="00DD3B33" w:rsidRPr="00CF2E7C" w:rsidRDefault="00360B27"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4F0E2B97" w:rsidR="00DD3B33" w:rsidRPr="00CF2E7C" w:rsidRDefault="002F5F0D" w:rsidP="00CF2E7C">
            <w:pPr>
              <w:rPr>
                <w:rFonts w:ascii="Calibri" w:hAnsi="Calibri" w:cs="Calibri"/>
              </w:rPr>
            </w:pPr>
            <w:r>
              <w:rPr>
                <w:rFonts w:ascii="Calibri" w:hAnsi="Calibri" w:cs="Calibri"/>
              </w:rPr>
              <w:t>X</w:t>
            </w: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21C178B1" w:rsidR="00DD3B33" w:rsidRPr="00CF2E7C" w:rsidRDefault="00360B27"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25387D82">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C8C8EAE" w:rsidR="00DD3B33" w:rsidRPr="00CF2E7C" w:rsidRDefault="00860459" w:rsidP="00860459">
            <w:pPr>
              <w:rPr>
                <w:rFonts w:ascii="Calibri" w:hAnsi="Calibri" w:cs="Calibri"/>
              </w:rPr>
            </w:pPr>
            <w:r w:rsidRPr="00860459">
              <w:rPr>
                <w:rFonts w:ascii="Calibri" w:hAnsi="Calibri" w:cs="Calibri"/>
              </w:rPr>
              <w:t>Under Article 18 of the IF</w:t>
            </w:r>
            <w:r>
              <w:rPr>
                <w:rFonts w:ascii="Calibri" w:hAnsi="Calibri" w:cs="Calibri"/>
              </w:rPr>
              <w:t xml:space="preserve">D, </w:t>
            </w:r>
            <w:r w:rsidRPr="00860459">
              <w:rPr>
                <w:rFonts w:ascii="Calibri" w:hAnsi="Calibri" w:cs="Calibri"/>
              </w:rPr>
              <w:t>Member States must lay down administrative sanctions and measures, including pecuniary fines (up to 10% of annual net turnover for legal persons, and up to €5,000,000 for individuals), temporary bans on management, and public naming of offenders.</w:t>
            </w:r>
            <w:r>
              <w:rPr>
                <w:rFonts w:ascii="Calibri" w:hAnsi="Calibri" w:cs="Calibri"/>
              </w:rPr>
              <w:t xml:space="preserve"> </w:t>
            </w:r>
            <w:r w:rsidRPr="00860459">
              <w:rPr>
                <w:rFonts w:ascii="Calibri" w:hAnsi="Calibri" w:cs="Calibri"/>
              </w:rPr>
              <w:t>Member States may also impose criminal sanctions instead of administrative ones, and they must notify the Commission if they choose this route.</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25387D82">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25387D82">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25387D82">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25387D82">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6A8B39FC" w:rsidR="00DD292A" w:rsidRPr="00CF2E7C" w:rsidRDefault="00C37DBE" w:rsidP="00CF2E7C">
            <w:pPr>
              <w:rPr>
                <w:rFonts w:ascii="Calibri" w:hAnsi="Calibri" w:cs="Calibri"/>
              </w:rPr>
            </w:pPr>
            <w:r>
              <w:rPr>
                <w:rFonts w:ascii="Calibri" w:hAnsi="Calibri" w:cs="Calibri"/>
              </w:rPr>
              <w:t>X</w:t>
            </w:r>
          </w:p>
        </w:tc>
      </w:tr>
      <w:tr w:rsidR="00DD292A" w:rsidRPr="009C4D10" w14:paraId="15ACEF81" w14:textId="77777777" w:rsidTr="25387D82">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25387D82">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5FF80EA1" w:rsidR="00DD292A" w:rsidRPr="00CF2E7C" w:rsidRDefault="008E2BFE" w:rsidP="00CF2E7C">
            <w:pPr>
              <w:rPr>
                <w:rFonts w:ascii="Calibri" w:hAnsi="Calibri" w:cs="Calibri"/>
              </w:rPr>
            </w:pPr>
            <w:r w:rsidRPr="008E2BFE">
              <w:rPr>
                <w:rFonts w:ascii="Calibri" w:hAnsi="Calibri" w:cs="Calibri"/>
              </w:rPr>
              <w:t>There is no known evidence of enforcement of the IFD specifically in relation to climate change-related risk management.</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25387D82">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1475DF6E" w:rsidR="00DD292A" w:rsidRPr="00CF2E7C" w:rsidRDefault="00956736" w:rsidP="00CF2E7C">
            <w:pPr>
              <w:rPr>
                <w:rFonts w:ascii="Calibri" w:hAnsi="Calibri" w:cs="Calibri"/>
              </w:rPr>
            </w:pPr>
            <w:r>
              <w:rPr>
                <w:rFonts w:ascii="Calibri" w:hAnsi="Calibri" w:cs="Calibri"/>
              </w:rPr>
              <w:t>X</w:t>
            </w:r>
          </w:p>
        </w:tc>
      </w:tr>
      <w:tr w:rsidR="00DD292A" w:rsidRPr="009C4D10" w14:paraId="3BEDB650" w14:textId="77777777" w:rsidTr="25387D82">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25387D82">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3B1F1DD1" w:rsidR="00DD292A" w:rsidRPr="00E026B5" w:rsidRDefault="00956736" w:rsidP="00CF2E7C">
            <w:pPr>
              <w:rPr>
                <w:rFonts w:ascii="Calibri" w:hAnsi="Calibri" w:cs="Calibri"/>
              </w:rPr>
            </w:pPr>
            <w:r w:rsidRPr="00E026B5">
              <w:rPr>
                <w:rFonts w:ascii="Calibri" w:hAnsi="Calibri" w:cs="Calibri"/>
              </w:rPr>
              <w:t>The</w:t>
            </w:r>
            <w:r w:rsidR="00E026B5" w:rsidRPr="00E026B5">
              <w:rPr>
                <w:rFonts w:ascii="Calibri" w:hAnsi="Calibri" w:cs="Calibri"/>
              </w:rPr>
              <w:t>re are no publicly documented cases in which the IFD itself has been directly challenged, nor instances where it has been invoked in legal proceedings as a basis to contest other regulations or supervisory actions</w:t>
            </w:r>
            <w:r w:rsidR="00E026B5">
              <w:rPr>
                <w:rFonts w:ascii="Calibri" w:hAnsi="Calibri" w:cs="Calibri"/>
              </w:rPr>
              <w:t>, specifically relating to climate change-related risk management.</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7669426C" w:rsidR="00410853" w:rsidRPr="00CF2E7C" w:rsidRDefault="00137F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67C9059C" w:rsidR="00F632FB" w:rsidRPr="00CF2E7C" w:rsidRDefault="009A3F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25E927E9" w:rsidR="00F632FB" w:rsidRPr="00CF2E7C" w:rsidRDefault="009A3F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7CACE13E" w:rsidR="00F632FB" w:rsidRPr="00CF2E7C" w:rsidRDefault="009A3F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0F4A124B" w:rsidR="00F632FB" w:rsidRPr="00CF2E7C" w:rsidRDefault="009A3F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5A3010CF" w:rsidR="008C4722" w:rsidRPr="00CF2E7C" w:rsidRDefault="00EE55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0101ABAC" w:rsidR="008C4722" w:rsidRPr="00CF2E7C" w:rsidRDefault="00EE55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38238A20" w:rsidR="008C4722" w:rsidRPr="00CF2E7C" w:rsidRDefault="00EE55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25387D82">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5697FCE" w14:textId="043909BC" w:rsidR="003B169C" w:rsidRPr="003B169C" w:rsidRDefault="003B169C" w:rsidP="003B169C">
            <w:pPr>
              <w:textAlignment w:val="baseline"/>
              <w:rPr>
                <w:rFonts w:ascii="Calibri" w:eastAsia="Times New Roman" w:hAnsi="Calibri" w:cs="Calibri"/>
                <w:kern w:val="0"/>
                <w:lang w:eastAsia="en-GB"/>
                <w14:ligatures w14:val="none"/>
              </w:rPr>
            </w:pPr>
            <w:r w:rsidRPr="003B169C">
              <w:rPr>
                <w:rFonts w:ascii="Calibri" w:eastAsia="Times New Roman" w:hAnsi="Calibri" w:cs="Calibri"/>
                <w:kern w:val="0"/>
                <w:lang w:eastAsia="en-GB"/>
                <w14:ligatures w14:val="none"/>
              </w:rPr>
              <w:t>The IFD, when interpreted in conjunction with EBA guidance</w:t>
            </w:r>
            <w:r w:rsidR="00A434E7">
              <w:rPr>
                <w:rFonts w:ascii="Calibri" w:eastAsia="Times New Roman" w:hAnsi="Calibri" w:cs="Calibri"/>
                <w:kern w:val="0"/>
                <w:lang w:eastAsia="en-GB"/>
                <w14:ligatures w14:val="none"/>
              </w:rPr>
              <w:t>,</w:t>
            </w:r>
            <w:r w:rsidR="003D4842">
              <w:rPr>
                <w:rFonts w:ascii="Calibri" w:eastAsia="Times New Roman" w:hAnsi="Calibri" w:cs="Calibri"/>
                <w:kern w:val="0"/>
                <w:lang w:eastAsia="en-GB"/>
                <w14:ligatures w14:val="none"/>
              </w:rPr>
              <w:t xml:space="preserve"> </w:t>
            </w:r>
            <w:r w:rsidRPr="003B169C">
              <w:rPr>
                <w:rFonts w:ascii="Calibri" w:eastAsia="Times New Roman" w:hAnsi="Calibri" w:cs="Calibri"/>
                <w:kern w:val="0"/>
                <w:lang w:eastAsia="en-GB"/>
                <w14:ligatures w14:val="none"/>
              </w:rPr>
              <w:t xml:space="preserve">particularly the </w:t>
            </w:r>
            <w:r w:rsidRPr="25387D82">
              <w:rPr>
                <w:rFonts w:ascii="Calibri" w:eastAsia="Times New Roman" w:hAnsi="Calibri" w:cs="Calibri"/>
                <w:i/>
                <w:kern w:val="0"/>
                <w:lang w:eastAsia="en-GB"/>
                <w14:ligatures w14:val="none"/>
              </w:rPr>
              <w:t>EBA Report on Management and Supervision of ESG Risks</w:t>
            </w:r>
            <w:r w:rsidR="00694856" w:rsidRPr="25387D82">
              <w:rPr>
                <w:rFonts w:ascii="Calibri" w:eastAsia="Times New Roman" w:hAnsi="Calibri" w:cs="Calibri"/>
                <w:i/>
                <w:kern w:val="0"/>
                <w:lang w:eastAsia="en-GB"/>
                <w14:ligatures w14:val="none"/>
              </w:rPr>
              <w:t xml:space="preserve"> for Credit Institutions and Investment Firms</w:t>
            </w:r>
            <w:r w:rsidRPr="25387D82">
              <w:rPr>
                <w:rFonts w:ascii="Calibri" w:eastAsia="Times New Roman" w:hAnsi="Calibri" w:cs="Calibri"/>
                <w:i/>
                <w:kern w:val="0"/>
                <w:lang w:eastAsia="en-GB"/>
                <w14:ligatures w14:val="none"/>
              </w:rPr>
              <w:t xml:space="preserve"> (2021)</w:t>
            </w:r>
            <w:r w:rsidR="003D4842">
              <w:rPr>
                <w:rFonts w:ascii="Calibri" w:eastAsia="Times New Roman" w:hAnsi="Calibri" w:cs="Calibri"/>
                <w:kern w:val="0"/>
                <w:lang w:eastAsia="en-GB"/>
                <w14:ligatures w14:val="none"/>
              </w:rPr>
              <w:t xml:space="preserve"> and </w:t>
            </w:r>
            <w:r w:rsidR="003D4842" w:rsidRPr="25387D82">
              <w:rPr>
                <w:rFonts w:ascii="Calibri" w:eastAsia="Times New Roman" w:hAnsi="Calibri" w:cs="Calibri"/>
                <w:i/>
                <w:kern w:val="0"/>
                <w:lang w:eastAsia="en-GB"/>
                <w14:ligatures w14:val="none"/>
              </w:rPr>
              <w:t>Guidelines on internal governance (2021)</w:t>
            </w:r>
            <w:r w:rsidR="00A434E7">
              <w:rPr>
                <w:rFonts w:ascii="Calibri" w:eastAsia="Times New Roman" w:hAnsi="Calibri" w:cs="Calibri"/>
                <w:iCs/>
                <w:kern w:val="0"/>
                <w:lang w:eastAsia="en-GB"/>
                <w14:ligatures w14:val="none"/>
              </w:rPr>
              <w:t>,</w:t>
            </w:r>
            <w:r w:rsidR="003D4842">
              <w:rPr>
                <w:rFonts w:ascii="Calibri" w:eastAsia="Times New Roman" w:hAnsi="Calibri" w:cs="Calibri"/>
                <w:kern w:val="0"/>
                <w:lang w:eastAsia="en-GB"/>
                <w14:ligatures w14:val="none"/>
              </w:rPr>
              <w:t xml:space="preserve"> </w:t>
            </w:r>
            <w:r w:rsidRPr="003B169C">
              <w:rPr>
                <w:rFonts w:ascii="Calibri" w:eastAsia="Times New Roman" w:hAnsi="Calibri" w:cs="Calibri"/>
                <w:kern w:val="0"/>
                <w:lang w:eastAsia="en-GB"/>
                <w14:ligatures w14:val="none"/>
              </w:rPr>
              <w:t>is understood to encompass climate-related financial risks, including climate physical risks, climate transition risks, and broader ESG risks.</w:t>
            </w:r>
          </w:p>
          <w:p w14:paraId="1B58E737" w14:textId="77777777" w:rsidR="003B169C" w:rsidRPr="003B169C" w:rsidRDefault="003B169C" w:rsidP="003B169C">
            <w:pPr>
              <w:textAlignment w:val="baseline"/>
              <w:rPr>
                <w:rFonts w:ascii="Calibri" w:eastAsia="Times New Roman" w:hAnsi="Calibri" w:cs="Calibri"/>
                <w:kern w:val="0"/>
                <w:lang w:eastAsia="en-GB"/>
                <w14:ligatures w14:val="none"/>
              </w:rPr>
            </w:pPr>
            <w:r w:rsidRPr="003B169C">
              <w:rPr>
                <w:rFonts w:ascii="Calibri" w:eastAsia="Times New Roman" w:hAnsi="Calibri" w:cs="Calibri"/>
                <w:kern w:val="0"/>
                <w:lang w:eastAsia="en-GB"/>
                <w14:ligatures w14:val="none"/>
              </w:rPr>
              <w:t>Although the IFD does not explicitly refer to climate risks, its prudential framework requires investment firms to identify, assess, manage, and monitor material risks. These obligations are set out in:</w:t>
            </w:r>
          </w:p>
          <w:p w14:paraId="3CAAF99B" w14:textId="22631DC3" w:rsidR="003B169C" w:rsidRPr="003B169C" w:rsidRDefault="003B169C" w:rsidP="003B169C">
            <w:pPr>
              <w:numPr>
                <w:ilvl w:val="0"/>
                <w:numId w:val="49"/>
              </w:numPr>
              <w:textAlignment w:val="baseline"/>
              <w:rPr>
                <w:rFonts w:ascii="Calibri" w:eastAsia="Times New Roman" w:hAnsi="Calibri" w:cs="Calibri"/>
                <w:kern w:val="0"/>
                <w:lang w:eastAsia="en-GB"/>
                <w14:ligatures w14:val="none"/>
              </w:rPr>
            </w:pPr>
            <w:r w:rsidRPr="003B169C">
              <w:rPr>
                <w:rFonts w:ascii="Calibri" w:eastAsia="Times New Roman" w:hAnsi="Calibri" w:cs="Calibri"/>
                <w:kern w:val="0"/>
                <w:lang w:eastAsia="en-GB"/>
                <w14:ligatures w14:val="none"/>
              </w:rPr>
              <w:t>Article 26 on internal governance arrangements, requiring firms to establish effective processes for risk management;</w:t>
            </w:r>
          </w:p>
          <w:p w14:paraId="063673DF" w14:textId="4F797D1C" w:rsidR="003B169C" w:rsidRPr="003B169C" w:rsidRDefault="003B169C" w:rsidP="003B169C">
            <w:pPr>
              <w:numPr>
                <w:ilvl w:val="0"/>
                <w:numId w:val="49"/>
              </w:numPr>
              <w:textAlignment w:val="baseline"/>
              <w:rPr>
                <w:rFonts w:ascii="Calibri" w:eastAsia="Times New Roman" w:hAnsi="Calibri" w:cs="Calibri"/>
                <w:kern w:val="0"/>
                <w:lang w:eastAsia="en-GB"/>
                <w14:ligatures w14:val="none"/>
              </w:rPr>
            </w:pPr>
            <w:r w:rsidRPr="003B169C">
              <w:rPr>
                <w:rFonts w:ascii="Calibri" w:eastAsia="Times New Roman" w:hAnsi="Calibri" w:cs="Calibri"/>
                <w:kern w:val="0"/>
                <w:lang w:eastAsia="en-GB"/>
                <w14:ligatures w14:val="none"/>
              </w:rPr>
              <w:t>Article 28 on the role of the management body in setting and overseeing risk strategies;</w:t>
            </w:r>
          </w:p>
          <w:p w14:paraId="7207ED34" w14:textId="50D87B1A" w:rsidR="003B169C" w:rsidRPr="003B169C" w:rsidRDefault="003B169C" w:rsidP="003B169C">
            <w:pPr>
              <w:numPr>
                <w:ilvl w:val="0"/>
                <w:numId w:val="49"/>
              </w:numPr>
              <w:textAlignment w:val="baseline"/>
              <w:rPr>
                <w:rFonts w:ascii="Calibri" w:eastAsia="Times New Roman" w:hAnsi="Calibri" w:cs="Calibri"/>
                <w:kern w:val="0"/>
                <w:lang w:eastAsia="en-GB"/>
                <w14:ligatures w14:val="none"/>
              </w:rPr>
            </w:pPr>
            <w:r w:rsidRPr="003B169C">
              <w:rPr>
                <w:rFonts w:ascii="Calibri" w:eastAsia="Times New Roman" w:hAnsi="Calibri" w:cs="Calibri"/>
                <w:kern w:val="0"/>
                <w:lang w:eastAsia="en-GB"/>
                <w14:ligatures w14:val="none"/>
              </w:rPr>
              <w:t>Article 29 on the treatment of risks, requiring firms to have policies and systems in place for the identification, measurement, management, and monitoring of material risks.</w:t>
            </w:r>
          </w:p>
          <w:p w14:paraId="3523D0C3" w14:textId="66F6FEDC" w:rsidR="003B169C" w:rsidRPr="003B169C" w:rsidRDefault="003B169C" w:rsidP="003B169C">
            <w:pPr>
              <w:textAlignment w:val="baseline"/>
              <w:rPr>
                <w:rFonts w:ascii="Calibri" w:eastAsia="Times New Roman" w:hAnsi="Calibri" w:cs="Calibri"/>
                <w:kern w:val="0"/>
                <w:lang w:eastAsia="en-GB"/>
                <w14:ligatures w14:val="none"/>
              </w:rPr>
            </w:pPr>
            <w:r w:rsidRPr="003B169C">
              <w:rPr>
                <w:rFonts w:ascii="Calibri" w:eastAsia="Times New Roman" w:hAnsi="Calibri" w:cs="Calibri"/>
                <w:kern w:val="0"/>
                <w:lang w:eastAsia="en-GB"/>
                <w14:ligatures w14:val="none"/>
              </w:rPr>
              <w:t>The EBA guidance interprets these provisions as requiring the inclusion of climate-related and environmental risk</w:t>
            </w:r>
            <w:r w:rsidR="00746E5D">
              <w:rPr>
                <w:rFonts w:ascii="Calibri" w:eastAsia="Times New Roman" w:hAnsi="Calibri" w:cs="Calibri"/>
                <w:kern w:val="0"/>
                <w:lang w:eastAsia="en-GB"/>
                <w14:ligatures w14:val="none"/>
              </w:rPr>
              <w:t xml:space="preserve">s, </w:t>
            </w:r>
            <w:r w:rsidRPr="003B169C">
              <w:rPr>
                <w:rFonts w:ascii="Calibri" w:eastAsia="Times New Roman" w:hAnsi="Calibri" w:cs="Calibri"/>
                <w:kern w:val="0"/>
                <w:lang w:eastAsia="en-GB"/>
                <w14:ligatures w14:val="none"/>
              </w:rPr>
              <w:t>such as those arising from extreme weather events (physical risks) and the transition to a low-carbon economy (transition risks</w:t>
            </w:r>
            <w:r w:rsidR="00746E5D">
              <w:rPr>
                <w:rFonts w:ascii="Calibri" w:eastAsia="Times New Roman" w:hAnsi="Calibri" w:cs="Calibri"/>
                <w:kern w:val="0"/>
                <w:lang w:eastAsia="en-GB"/>
                <w14:ligatures w14:val="none"/>
              </w:rPr>
              <w:t xml:space="preserve">), </w:t>
            </w:r>
            <w:r w:rsidRPr="003B169C">
              <w:rPr>
                <w:rFonts w:ascii="Calibri" w:eastAsia="Times New Roman" w:hAnsi="Calibri" w:cs="Calibri"/>
                <w:kern w:val="0"/>
                <w:lang w:eastAsia="en-GB"/>
                <w14:ligatures w14:val="none"/>
              </w:rPr>
              <w:t>in firms’ internal risk frameworks.</w:t>
            </w:r>
            <w:r w:rsidR="00D83D01">
              <w:rPr>
                <w:rFonts w:ascii="Calibri" w:eastAsia="Times New Roman" w:hAnsi="Calibri" w:cs="Calibri"/>
                <w:kern w:val="0"/>
                <w:lang w:eastAsia="en-GB"/>
                <w14:ligatures w14:val="none"/>
              </w:rPr>
              <w:t xml:space="preserve"> C</w:t>
            </w:r>
            <w:r w:rsidRPr="003B169C">
              <w:rPr>
                <w:rFonts w:ascii="Calibri" w:eastAsia="Times New Roman" w:hAnsi="Calibri" w:cs="Calibri"/>
                <w:kern w:val="0"/>
                <w:lang w:eastAsia="en-GB"/>
                <w14:ligatures w14:val="none"/>
              </w:rPr>
              <w:t>ompetent authorities are also expected to assess how investment firms integrate these risks into their governance and decision-making processes.</w:t>
            </w:r>
          </w:p>
          <w:p w14:paraId="39FC6AFA" w14:textId="66EFCF68" w:rsidR="008C4722" w:rsidRPr="003B169C" w:rsidRDefault="003B169C" w:rsidP="00CF2E7C">
            <w:pPr>
              <w:textAlignment w:val="baseline"/>
              <w:rPr>
                <w:rFonts w:ascii="Calibri" w:eastAsia="Times New Roman" w:hAnsi="Calibri" w:cs="Calibri"/>
                <w:kern w:val="0"/>
                <w:lang w:eastAsia="en-GB"/>
                <w14:ligatures w14:val="none"/>
              </w:rPr>
            </w:pPr>
            <w:r w:rsidRPr="003B169C">
              <w:rPr>
                <w:rFonts w:ascii="Calibri" w:eastAsia="Times New Roman" w:hAnsi="Calibri" w:cs="Calibri"/>
                <w:kern w:val="0"/>
                <w:lang w:eastAsia="en-GB"/>
                <w14:ligatures w14:val="none"/>
              </w:rPr>
              <w:t>In this way, the IFD addresses the incidence of climate-related financial risks on investment firms by embedding them within the general risk management and governance structure mandated under Articles 26</w:t>
            </w:r>
            <w:r w:rsidR="00746E5D">
              <w:rPr>
                <w:rFonts w:ascii="Calibri" w:eastAsia="Times New Roman" w:hAnsi="Calibri" w:cs="Calibri"/>
                <w:kern w:val="0"/>
                <w:lang w:eastAsia="en-GB"/>
                <w14:ligatures w14:val="none"/>
              </w:rPr>
              <w:t>-2</w:t>
            </w:r>
            <w:r w:rsidRPr="003B169C">
              <w:rPr>
                <w:rFonts w:ascii="Calibri" w:eastAsia="Times New Roman" w:hAnsi="Calibri" w:cs="Calibri"/>
                <w:kern w:val="0"/>
                <w:lang w:eastAsia="en-GB"/>
                <w14:ligatures w14:val="none"/>
              </w:rPr>
              <w:t>9.</w:t>
            </w:r>
          </w:p>
        </w:tc>
      </w:tr>
      <w:tr w:rsidR="008C4722" w:rsidRPr="009C4D10" w14:paraId="71CCB51A"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6641F0D8" w:rsidR="008C4722" w:rsidRPr="00CF2E7C" w:rsidRDefault="00114A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25387D82">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5A118BAB" w:rsidR="007B7DEE" w:rsidRPr="00CF2E7C" w:rsidRDefault="005051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25387D82">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014C814A" w:rsidR="00ED7E12" w:rsidRPr="00CF2E7C" w:rsidRDefault="004834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25387D82">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25387D82">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18CFA20E" w:rsidR="00ED7E12" w:rsidRPr="00CF2E7C" w:rsidRDefault="008B3685" w:rsidP="008B3685">
            <w:pPr>
              <w:textAlignment w:val="baseline"/>
              <w:rPr>
                <w:rFonts w:ascii="Calibri" w:eastAsia="Times New Roman" w:hAnsi="Calibri" w:cs="Calibri"/>
                <w:kern w:val="0"/>
                <w:lang w:eastAsia="en-GB"/>
                <w14:ligatures w14:val="none"/>
              </w:rPr>
            </w:pPr>
            <w:r w:rsidRPr="008B3685">
              <w:rPr>
                <w:rFonts w:ascii="Calibri" w:eastAsia="Times New Roman" w:hAnsi="Calibri" w:cs="Calibri"/>
                <w:kern w:val="0"/>
                <w:lang w:eastAsia="en-GB"/>
                <w14:ligatures w14:val="none"/>
              </w:rPr>
              <w:t xml:space="preserve">The IFD relies on regulatory oversight by national competent authorities to ensure that investment firms meet their prudential obligations, including those related to governance and risk management. Article 4 of the directive requires Member States to empower these authorities with broad supervisory powers. This includes the ability to conduct on-site inspections, request information, assess the adequacy of internal controls and risk frameworks, and verify compliance with capital, liquidity, and reporting requirements. Investment firms are required to provide timely and complete information to facilitate this oversight. Competent authorities are responsible for continuously reviewing this information, identifying potential breaches, and taking appropriate </w:t>
            </w:r>
            <w:r>
              <w:rPr>
                <w:rFonts w:ascii="Calibri" w:eastAsia="Times New Roman" w:hAnsi="Calibri" w:cs="Calibri"/>
                <w:kern w:val="0"/>
                <w:lang w:eastAsia="en-GB"/>
                <w14:ligatures w14:val="none"/>
              </w:rPr>
              <w:t xml:space="preserve">action </w:t>
            </w:r>
            <w:r w:rsidRPr="008B3685">
              <w:rPr>
                <w:rFonts w:ascii="Calibri" w:eastAsia="Times New Roman" w:hAnsi="Calibri" w:cs="Calibri"/>
                <w:kern w:val="0"/>
                <w:lang w:eastAsia="en-GB"/>
                <w14:ligatures w14:val="none"/>
              </w:rPr>
              <w:t>when firms fail to meet their obligations.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lastRenderedPageBreak/>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049BDCF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6A792F1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01C40">
              <w:rPr>
                <w:rFonts w:ascii="Calibri" w:eastAsia="Times New Roman" w:hAnsi="Calibri" w:cs="Calibri"/>
                <w:kern w:val="0"/>
                <w:lang w:eastAsia="en-GB"/>
                <w14:ligatures w14:val="none"/>
              </w:rPr>
              <w:t>X</w:t>
            </w:r>
          </w:p>
        </w:tc>
      </w:tr>
      <w:tr w:rsidR="00702413" w:rsidRPr="009C4D10" w14:paraId="73E5866B"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328A744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01C40">
              <w:rPr>
                <w:rFonts w:ascii="Calibri" w:eastAsia="Times New Roman" w:hAnsi="Calibri" w:cs="Calibri"/>
                <w:kern w:val="0"/>
                <w:lang w:eastAsia="en-GB"/>
                <w14:ligatures w14:val="none"/>
              </w:rPr>
              <w:t>X</w:t>
            </w:r>
          </w:p>
        </w:tc>
      </w:tr>
      <w:tr w:rsidR="00702413" w:rsidRPr="009C4D10" w14:paraId="045282B9"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4610A87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01C40">
              <w:rPr>
                <w:rFonts w:ascii="Calibri" w:eastAsia="Times New Roman" w:hAnsi="Calibri" w:cs="Calibri"/>
                <w:kern w:val="0"/>
                <w:lang w:eastAsia="en-GB"/>
                <w14:ligatures w14:val="none"/>
              </w:rPr>
              <w:t>X</w:t>
            </w:r>
          </w:p>
        </w:tc>
      </w:tr>
      <w:tr w:rsidR="00702413" w:rsidRPr="009C4D10" w14:paraId="7A79BD9F"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55F8C7A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44EB9">
              <w:rPr>
                <w:rFonts w:ascii="Calibri" w:eastAsia="Times New Roman" w:hAnsi="Calibri" w:cs="Calibri"/>
                <w:kern w:val="0"/>
                <w:lang w:eastAsia="en-GB"/>
                <w14:ligatures w14:val="none"/>
              </w:rPr>
              <w:t>X</w:t>
            </w:r>
          </w:p>
        </w:tc>
      </w:tr>
      <w:tr w:rsidR="00702413" w:rsidRPr="009C4D10" w14:paraId="3AF695D3"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440F387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44EB9">
              <w:rPr>
                <w:rFonts w:ascii="Calibri" w:eastAsia="Times New Roman" w:hAnsi="Calibri" w:cs="Calibri"/>
                <w:kern w:val="0"/>
                <w:lang w:eastAsia="en-GB"/>
                <w14:ligatures w14:val="none"/>
              </w:rPr>
              <w:t>X</w:t>
            </w:r>
          </w:p>
        </w:tc>
      </w:tr>
      <w:tr w:rsidR="00702413" w:rsidRPr="009C4D10" w14:paraId="2FD170EE"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16F50F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44EB9">
              <w:rPr>
                <w:rFonts w:ascii="Calibri" w:eastAsia="Times New Roman" w:hAnsi="Calibri" w:cs="Calibri"/>
                <w:kern w:val="0"/>
                <w:lang w:eastAsia="en-GB"/>
                <w14:ligatures w14:val="none"/>
              </w:rPr>
              <w:t>X</w:t>
            </w:r>
          </w:p>
        </w:tc>
      </w:tr>
      <w:tr w:rsidR="00702413" w:rsidRPr="009C4D10" w14:paraId="16C49E76"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081C14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01C40">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25387D82">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00E270E4" w14:textId="6C7A5086" w:rsidR="00C1677F" w:rsidRPr="00C1677F" w:rsidRDefault="00C1677F" w:rsidP="00C1677F">
            <w:pPr>
              <w:textAlignment w:val="baseline"/>
              <w:rPr>
                <w:rFonts w:ascii="Calibri" w:eastAsia="Times New Roman" w:hAnsi="Calibri" w:cs="Calibri"/>
                <w:kern w:val="0"/>
                <w:lang w:eastAsia="en-GB"/>
                <w14:ligatures w14:val="none"/>
              </w:rPr>
            </w:pPr>
            <w:r w:rsidRPr="00C1677F">
              <w:rPr>
                <w:rFonts w:ascii="Calibri" w:eastAsia="Times New Roman" w:hAnsi="Calibri" w:cs="Calibri"/>
                <w:kern w:val="0"/>
                <w:lang w:eastAsia="en-GB"/>
                <w14:ligatures w14:val="none"/>
              </w:rPr>
              <w:t>Although the IFD does not explicitly mention climate-related risks, the EBA’s supervisory expectations interpret key IFD provisions</w:t>
            </w:r>
            <w:r>
              <w:rPr>
                <w:rFonts w:ascii="Calibri" w:eastAsia="Times New Roman" w:hAnsi="Calibri" w:cs="Calibri"/>
                <w:kern w:val="0"/>
                <w:lang w:eastAsia="en-GB"/>
                <w14:ligatures w14:val="none"/>
              </w:rPr>
              <w:t xml:space="preserve">, </w:t>
            </w:r>
            <w:r w:rsidRPr="00C1677F">
              <w:rPr>
                <w:rFonts w:ascii="Calibri" w:eastAsia="Times New Roman" w:hAnsi="Calibri" w:cs="Calibri"/>
                <w:kern w:val="0"/>
                <w:lang w:eastAsia="en-GB"/>
                <w14:ligatures w14:val="none"/>
              </w:rPr>
              <w:t>particularly Articles 26 to 29</w:t>
            </w:r>
            <w:r>
              <w:rPr>
                <w:rFonts w:ascii="Calibri" w:eastAsia="Times New Roman" w:hAnsi="Calibri" w:cs="Calibri"/>
                <w:kern w:val="0"/>
                <w:lang w:eastAsia="en-GB"/>
                <w14:ligatures w14:val="none"/>
              </w:rPr>
              <w:t xml:space="preserve">, </w:t>
            </w:r>
            <w:r w:rsidRPr="00C1677F">
              <w:rPr>
                <w:rFonts w:ascii="Calibri" w:eastAsia="Times New Roman" w:hAnsi="Calibri" w:cs="Calibri"/>
                <w:kern w:val="0"/>
                <w:lang w:eastAsia="en-GB"/>
                <w14:ligatures w14:val="none"/>
              </w:rPr>
              <w:t>as requiring investment firms to integrate ESG risks, including climate-related financial risks, into their governance and risk management frameworks. Under Article 26, investment firms must establish robust internal governance arrangements and effective risk management processes. Article 28 mandates that the management body takes responsibility for setting and overseeing the firm’s risk appetite and strategy, and Article 29 requires firms to identify, measure, manage, and monitor material risks, which the EBA interprets to include both physical and transition climate risks.</w:t>
            </w:r>
          </w:p>
          <w:p w14:paraId="27E9CD14" w14:textId="0A118F0F" w:rsidR="00A80131" w:rsidRPr="00CF2E7C" w:rsidRDefault="00C1677F" w:rsidP="00C1677F">
            <w:pPr>
              <w:textAlignment w:val="baseline"/>
              <w:rPr>
                <w:rFonts w:ascii="Calibri" w:eastAsia="Times New Roman" w:hAnsi="Calibri" w:cs="Calibri"/>
                <w:kern w:val="0"/>
                <w:lang w:eastAsia="en-GB"/>
                <w14:ligatures w14:val="none"/>
              </w:rPr>
            </w:pPr>
            <w:r w:rsidRPr="00C1677F">
              <w:rPr>
                <w:rFonts w:ascii="Calibri" w:eastAsia="Times New Roman" w:hAnsi="Calibri" w:cs="Calibri"/>
                <w:kern w:val="0"/>
                <w:lang w:eastAsia="en-GB"/>
                <w14:ligatures w14:val="none"/>
              </w:rPr>
              <w:t xml:space="preserve">In this context, the EBA expects investment firms to incorporate climate-related risks by aligning their internal processes with these governance and risk management obligations. This includes assigning climate-related responsibilities to senior management, integrating ESG risks into the firm's risk appetite framework, and ensuring that such risks are reflected in internal control systems and board-level oversight. Furthermore, firms are expected to progressively enhance their capabilities to assess and monitor these risks over both short- and long-term </w:t>
            </w:r>
            <w:r w:rsidRPr="00C1677F">
              <w:rPr>
                <w:rFonts w:ascii="Calibri" w:eastAsia="Times New Roman" w:hAnsi="Calibri" w:cs="Calibri"/>
                <w:kern w:val="0"/>
                <w:lang w:eastAsia="en-GB"/>
                <w14:ligatures w14:val="none"/>
              </w:rPr>
              <w:lastRenderedPageBreak/>
              <w:t>horizons, and to do so using reliable data, even though such measures are not explicitly codified in the IFD text.</w:t>
            </w:r>
          </w:p>
        </w:tc>
      </w:tr>
      <w:tr w:rsidR="00702413" w:rsidRPr="009C4D10" w14:paraId="21609321"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4F44DA45" w:rsidR="00C82860" w:rsidRPr="00CF2E7C" w:rsidRDefault="00F54E7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25387D82">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0329449F" w:rsidR="00C82860" w:rsidRPr="00CF2E7C" w:rsidRDefault="00143C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613A4C18"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25387D82">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C6C96BD" w14:textId="77777777" w:rsidR="00143C20" w:rsidRDefault="00143C20" w:rsidP="00143C20">
            <w:pPr>
              <w:textAlignment w:val="baseline"/>
              <w:rPr>
                <w:rFonts w:ascii="Calibri" w:eastAsia="Times New Roman" w:hAnsi="Calibri" w:cs="Calibri"/>
                <w:kern w:val="0"/>
                <w:lang w:eastAsia="en-GB"/>
                <w14:ligatures w14:val="none"/>
              </w:rPr>
            </w:pPr>
            <w:r w:rsidRPr="00143C20">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IFD</w:t>
            </w:r>
            <w:r w:rsidRPr="00143C20">
              <w:rPr>
                <w:rFonts w:ascii="Calibri" w:eastAsia="Times New Roman" w:hAnsi="Calibri" w:cs="Calibri"/>
                <w:kern w:val="0"/>
                <w:lang w:eastAsia="en-GB"/>
                <w14:ligatures w14:val="none"/>
              </w:rPr>
              <w:t xml:space="preserve"> does not require investment firms to conduct a climate-risk assessment as part of their due diligence for new clients or transactions. There is no reference in the </w:t>
            </w:r>
            <w:r>
              <w:rPr>
                <w:rFonts w:ascii="Calibri" w:eastAsia="Times New Roman" w:hAnsi="Calibri" w:cs="Calibri"/>
                <w:kern w:val="0"/>
                <w:lang w:eastAsia="en-GB"/>
                <w14:ligatures w14:val="none"/>
              </w:rPr>
              <w:t>IFD</w:t>
            </w:r>
            <w:r w:rsidRPr="00143C20">
              <w:rPr>
                <w:rFonts w:ascii="Calibri" w:eastAsia="Times New Roman" w:hAnsi="Calibri" w:cs="Calibri"/>
                <w:kern w:val="0"/>
                <w:lang w:eastAsia="en-GB"/>
                <w14:ligatures w14:val="none"/>
              </w:rPr>
              <w:t xml:space="preserve"> to mandatory ESG or climate-related checks during onboarding or transactional approval processes.</w:t>
            </w:r>
            <w:r>
              <w:rPr>
                <w:rFonts w:ascii="Calibri" w:eastAsia="Times New Roman" w:hAnsi="Calibri" w:cs="Calibri"/>
                <w:kern w:val="0"/>
                <w:lang w:eastAsia="en-GB"/>
                <w14:ligatures w14:val="none"/>
              </w:rPr>
              <w:t xml:space="preserve"> </w:t>
            </w:r>
          </w:p>
          <w:p w14:paraId="5464A3A5" w14:textId="52F23433" w:rsidR="00C82860" w:rsidRPr="00CF2E7C" w:rsidRDefault="00143C20" w:rsidP="00143C20">
            <w:pPr>
              <w:textAlignment w:val="baseline"/>
              <w:rPr>
                <w:rFonts w:ascii="Calibri" w:eastAsia="Times New Roman" w:hAnsi="Calibri" w:cs="Calibri"/>
                <w:kern w:val="0"/>
                <w:lang w:eastAsia="en-GB"/>
                <w14:ligatures w14:val="none"/>
              </w:rPr>
            </w:pPr>
            <w:r w:rsidRPr="00143C20">
              <w:rPr>
                <w:rFonts w:ascii="Calibri" w:eastAsia="Times New Roman" w:hAnsi="Calibri" w:cs="Calibri"/>
                <w:kern w:val="0"/>
                <w:lang w:eastAsia="en-GB"/>
                <w14:ligatures w14:val="none"/>
              </w:rPr>
              <w:t>However, the EBA Report on the Management and Supervision of ESG Risks for Credit Institutions and Investment Firms (EBA/REP/2021/18) recommends that institutions, including investment firms, integrate ESG risk</w:t>
            </w:r>
            <w:r>
              <w:rPr>
                <w:rFonts w:ascii="Calibri" w:eastAsia="Times New Roman" w:hAnsi="Calibri" w:cs="Calibri"/>
                <w:kern w:val="0"/>
                <w:lang w:eastAsia="en-GB"/>
                <w14:ligatures w14:val="none"/>
              </w:rPr>
              <w:t xml:space="preserve">s, </w:t>
            </w:r>
            <w:r w:rsidRPr="00143C20">
              <w:rPr>
                <w:rFonts w:ascii="Calibri" w:eastAsia="Times New Roman" w:hAnsi="Calibri" w:cs="Calibri"/>
                <w:kern w:val="0"/>
                <w:lang w:eastAsia="en-GB"/>
                <w14:ligatures w14:val="none"/>
              </w:rPr>
              <w:t>including climate-related risk</w:t>
            </w:r>
            <w:r>
              <w:rPr>
                <w:rFonts w:ascii="Calibri" w:eastAsia="Times New Roman" w:hAnsi="Calibri" w:cs="Calibri"/>
                <w:kern w:val="0"/>
                <w:lang w:eastAsia="en-GB"/>
                <w14:ligatures w14:val="none"/>
              </w:rPr>
              <w:t xml:space="preserve">s, </w:t>
            </w:r>
            <w:r w:rsidRPr="00143C20">
              <w:rPr>
                <w:rFonts w:ascii="Calibri" w:eastAsia="Times New Roman" w:hAnsi="Calibri" w:cs="Calibri"/>
                <w:kern w:val="0"/>
                <w:lang w:eastAsia="en-GB"/>
                <w14:ligatures w14:val="none"/>
              </w:rPr>
              <w:t>into their due diligence processes. This includes transaction-level and counterparty-level assessments.</w:t>
            </w:r>
            <w:r>
              <w:rPr>
                <w:rFonts w:ascii="Calibri" w:eastAsia="Times New Roman" w:hAnsi="Calibri" w:cs="Calibri"/>
                <w:kern w:val="0"/>
                <w:lang w:eastAsia="en-GB"/>
                <w14:ligatures w14:val="none"/>
              </w:rPr>
              <w:t xml:space="preserve"> This is solely a recommendation.</w:t>
            </w:r>
          </w:p>
        </w:tc>
      </w:tr>
      <w:tr w:rsidR="00C82860" w:rsidRPr="009C4D10" w14:paraId="64706D6E"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0EA6F87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12A51">
              <w:rPr>
                <w:rFonts w:ascii="Calibri" w:eastAsia="Times New Roman" w:hAnsi="Calibri" w:cs="Calibri"/>
                <w:kern w:val="0"/>
                <w:lang w:val="en-SG" w:eastAsia="en-GB"/>
                <w14:ligatures w14:val="none"/>
              </w:rPr>
              <w:t>X</w:t>
            </w:r>
          </w:p>
        </w:tc>
      </w:tr>
      <w:tr w:rsidR="00C82860" w:rsidRPr="009C4D10" w14:paraId="1B7CF6B6"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3695B26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12A51">
              <w:rPr>
                <w:rFonts w:ascii="Calibri" w:eastAsia="Times New Roman" w:hAnsi="Calibri" w:cs="Calibri"/>
                <w:kern w:val="0"/>
                <w:lang w:val="en-SG" w:eastAsia="en-GB"/>
                <w14:ligatures w14:val="none"/>
              </w:rPr>
              <w:t>X</w:t>
            </w:r>
          </w:p>
        </w:tc>
      </w:tr>
      <w:tr w:rsidR="00C82860" w:rsidRPr="009C4D10" w14:paraId="26AD2862"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27E9BCC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12A51">
              <w:rPr>
                <w:rFonts w:ascii="Calibri" w:eastAsia="Times New Roman" w:hAnsi="Calibri" w:cs="Calibri"/>
                <w:kern w:val="0"/>
                <w:lang w:val="en-SG" w:eastAsia="en-GB"/>
                <w14:ligatures w14:val="none"/>
              </w:rPr>
              <w:t>X</w:t>
            </w:r>
          </w:p>
        </w:tc>
      </w:tr>
      <w:tr w:rsidR="00C82860" w:rsidRPr="009C4D10" w14:paraId="66EF45D2"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4CFACAB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12A51">
              <w:rPr>
                <w:rFonts w:ascii="Calibri" w:eastAsia="Times New Roman" w:hAnsi="Calibri" w:cs="Calibri"/>
                <w:kern w:val="0"/>
                <w:lang w:val="en-SG" w:eastAsia="en-GB"/>
                <w14:ligatures w14:val="none"/>
              </w:rPr>
              <w:t>X</w:t>
            </w:r>
          </w:p>
        </w:tc>
      </w:tr>
      <w:tr w:rsidR="00C82860" w:rsidRPr="009C4D10" w14:paraId="25602148"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627D3C4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3161C">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97D467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25387D8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25387D82">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11220DEF" w:rsidR="00C82860" w:rsidRPr="00CF2E7C" w:rsidRDefault="0033161C" w:rsidP="0033161C">
            <w:pPr>
              <w:rPr>
                <w:rFonts w:ascii="Calibri" w:eastAsia="Times New Roman" w:hAnsi="Calibri" w:cs="Calibri"/>
                <w:kern w:val="0"/>
                <w:lang w:eastAsia="en-GB"/>
                <w14:ligatures w14:val="none"/>
              </w:rPr>
            </w:pPr>
            <w:r w:rsidRPr="0033161C">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IFD</w:t>
            </w:r>
            <w:r w:rsidRPr="0033161C">
              <w:rPr>
                <w:rFonts w:ascii="Calibri" w:eastAsia="Times New Roman" w:hAnsi="Calibri" w:cs="Calibri"/>
                <w:kern w:val="0"/>
                <w:lang w:eastAsia="en-GB"/>
                <w14:ligatures w14:val="none"/>
              </w:rPr>
              <w:t xml:space="preserve"> itself does not require the use of specific metrics to assess portfolio exposure to climate physical or transition risks. However, the EBA Report on the Management and Supervision of ESG Risks (EBA/REP/2021/18) recommends that investment firms and credit institutions develop and apply metrics and indicators to assess their exposures to ESG risks, including climate-related physical and transition risks.</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3604CF22" w14:textId="50E980C2" w:rsidR="00C478AE" w:rsidRDefault="00C478AE" w:rsidP="00C478AE">
            <w:pPr>
              <w:rPr>
                <w:rFonts w:eastAsia="Times New Roman" w:cstheme="minorHAnsi"/>
                <w:kern w:val="0"/>
                <w:lang w:eastAsia="en-GB"/>
                <w14:ligatures w14:val="none"/>
              </w:rPr>
            </w:pPr>
            <w:r w:rsidRPr="00C478AE">
              <w:rPr>
                <w:rFonts w:eastAsia="Times New Roman" w:cstheme="minorHAnsi"/>
                <w:kern w:val="0"/>
                <w:lang w:eastAsia="en-GB"/>
                <w14:ligatures w14:val="none"/>
              </w:rPr>
              <w:t xml:space="preserve">While the IFD provides a high-level framework for risk management and governance, it does not explicitly reference ESG or climate-related financial risks. Instead, integration of these risks relies on interpretation through EBA guidance which encourages competent authorities and firms to treat climate-related risks as material where relevant. This guidance bridges the gap between principle-based prudential rules and emerging climate risk expectations but remains non-binding for investment firms under the IFD. </w:t>
            </w:r>
          </w:p>
          <w:p w14:paraId="2FE5DF4C" w14:textId="3334FD55" w:rsidR="00702413" w:rsidRPr="009C4D10" w:rsidRDefault="00C478AE" w:rsidP="00C478AE">
            <w:pPr>
              <w:rPr>
                <w:rFonts w:eastAsia="Times New Roman" w:cstheme="minorHAnsi"/>
                <w:kern w:val="0"/>
                <w:lang w:eastAsia="en-GB"/>
                <w14:ligatures w14:val="none"/>
              </w:rPr>
            </w:pPr>
            <w:r>
              <w:rPr>
                <w:rFonts w:eastAsia="Times New Roman" w:cstheme="minorHAnsi"/>
                <w:kern w:val="0"/>
                <w:lang w:eastAsia="en-GB"/>
                <w14:ligatures w14:val="none"/>
              </w:rPr>
              <w:lastRenderedPageBreak/>
              <w:t>Additionally, we note that d</w:t>
            </w:r>
            <w:r w:rsidRPr="00C478AE">
              <w:rPr>
                <w:rFonts w:eastAsia="Times New Roman" w:cstheme="minorHAnsi"/>
                <w:kern w:val="0"/>
                <w:lang w:eastAsia="en-GB"/>
                <w14:ligatures w14:val="none"/>
              </w:rPr>
              <w:t>isclosure requirements related to ESG risks are set out in the accompanying IFR (Regulation (EU) 2019/2033)</w:t>
            </w:r>
            <w:r w:rsidR="007C226C">
              <w:rPr>
                <w:rFonts w:eastAsia="Times New Roman" w:cstheme="minorHAnsi"/>
                <w:kern w:val="0"/>
                <w:lang w:eastAsia="en-GB"/>
                <w14:ligatures w14:val="none"/>
              </w:rPr>
              <w:t>, specifically Article 53.</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4B18F400" w:rsidR="00702413" w:rsidRPr="009C4D10" w:rsidRDefault="00C478AE" w:rsidP="00C478AE">
            <w:pPr>
              <w:textAlignment w:val="baseline"/>
              <w:rPr>
                <w:rFonts w:eastAsia="Times New Roman" w:cstheme="minorHAnsi"/>
                <w:kern w:val="0"/>
                <w:lang w:eastAsia="en-GB"/>
                <w14:ligatures w14:val="none"/>
              </w:rPr>
            </w:pPr>
            <w:r w:rsidRPr="00C478AE">
              <w:rPr>
                <w:rFonts w:eastAsia="Times New Roman" w:cstheme="minorHAnsi"/>
                <w:kern w:val="0"/>
                <w:lang w:eastAsia="en-GB"/>
                <w14:ligatures w14:val="none"/>
              </w:rPr>
              <w:t>Key challenges in implementing climate-related risk management under the IFD include the absence of an explicit legal mandate for climate risks, which limits enforceability; the diversity of investment firms subject to the regime, which complicates proportional and consistent application; and persistent data gaps that hinder reliable risk measurement, particularly in areas such as physical risk exposure and Scope 3 emissions. Finally, because the EBA’s expectations are interpreted and applied differently across Member States, there is a risk of supervisory fragmentation, which may undermine the consistent and effective integration of climate-related risks into prudential supervision.</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3C16497C" w:rsidR="00FE0EA5" w:rsidRPr="009C4D10" w:rsidRDefault="006A091E" w:rsidP="00CF2E7C">
            <w:pPr>
              <w:rPr>
                <w:rFonts w:cstheme="minorHAnsi"/>
              </w:rPr>
            </w:pPr>
            <w:r>
              <w:rPr>
                <w:rFonts w:cstheme="minorHAnsi"/>
                <w:lang w:val="en-SG"/>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4BF56C39" w:rsidR="00FE0EA5" w:rsidRPr="009C4D10" w:rsidRDefault="00FE0EA5" w:rsidP="00CF2E7C">
            <w:pPr>
              <w:rPr>
                <w:rFonts w:cstheme="minorHAnsi"/>
              </w:rPr>
            </w:pPr>
            <w:r w:rsidRPr="009C4D10">
              <w:rPr>
                <w:rFonts w:cstheme="minorHAnsi"/>
                <w:lang w:val="en-SG"/>
              </w:rPr>
              <w:t> </w:t>
            </w:r>
            <w:r w:rsidR="006A091E">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3632D595" w:rsidR="00FE0EA5" w:rsidRPr="009C4D10" w:rsidRDefault="00FE0EA5" w:rsidP="00CF2E7C">
            <w:pPr>
              <w:rPr>
                <w:rFonts w:cstheme="minorHAnsi"/>
              </w:rPr>
            </w:pPr>
            <w:r w:rsidRPr="009C4D10">
              <w:rPr>
                <w:rFonts w:cstheme="minorHAnsi"/>
                <w:lang w:val="en-SG"/>
              </w:rPr>
              <w:t> </w:t>
            </w:r>
            <w:r w:rsidRPr="009C4D10">
              <w:rPr>
                <w:rFonts w:cstheme="minorHAnsi"/>
              </w:rPr>
              <w:t> </w:t>
            </w:r>
            <w:r w:rsidR="006A091E">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573873C5" w:rsidR="00FE0EA5" w:rsidRPr="009C4D10" w:rsidRDefault="00FE0EA5" w:rsidP="00CF2E7C">
            <w:pPr>
              <w:rPr>
                <w:rFonts w:cstheme="minorHAnsi"/>
              </w:rPr>
            </w:pPr>
            <w:r w:rsidRPr="009C4D10">
              <w:rPr>
                <w:rFonts w:cstheme="minorHAnsi"/>
                <w:lang w:val="en-SG"/>
              </w:rPr>
              <w:t> </w:t>
            </w:r>
            <w:r w:rsidRPr="009C4D10">
              <w:rPr>
                <w:rFonts w:cstheme="minorHAnsi"/>
              </w:rPr>
              <w:t> </w:t>
            </w:r>
            <w:r w:rsidR="006A091E">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2BBE20B6" w:rsidR="00FE0EA5" w:rsidRPr="009C4D10" w:rsidRDefault="00FE0EA5" w:rsidP="00CF2E7C">
            <w:pPr>
              <w:rPr>
                <w:rFonts w:cstheme="minorHAnsi"/>
              </w:rPr>
            </w:pPr>
            <w:r w:rsidRPr="009C4D10">
              <w:rPr>
                <w:rFonts w:cstheme="minorHAnsi"/>
                <w:lang w:val="en-SG"/>
              </w:rPr>
              <w:t> </w:t>
            </w:r>
            <w:r w:rsidRPr="009C4D10">
              <w:rPr>
                <w:rFonts w:cstheme="minorHAnsi"/>
              </w:rPr>
              <w:t> </w:t>
            </w:r>
            <w:r w:rsidR="006A091E">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37F9BF48" w:rsidR="00FE0EA5" w:rsidRPr="009C4D10" w:rsidRDefault="00FE0EA5" w:rsidP="00CF2E7C">
            <w:pPr>
              <w:rPr>
                <w:rFonts w:cstheme="minorHAnsi"/>
              </w:rPr>
            </w:pPr>
            <w:r w:rsidRPr="009C4D10">
              <w:rPr>
                <w:rFonts w:cstheme="minorHAnsi"/>
              </w:rPr>
              <w:t>  </w:t>
            </w:r>
            <w:r w:rsidR="006A091E">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032C0CD8" w:rsidR="00FE0EA5" w:rsidRPr="009C4D10" w:rsidRDefault="00FE0EA5" w:rsidP="00CF2E7C">
            <w:pPr>
              <w:rPr>
                <w:rFonts w:cstheme="minorHAnsi"/>
              </w:rPr>
            </w:pPr>
            <w:r w:rsidRPr="009C4D10">
              <w:rPr>
                <w:rFonts w:cstheme="minorHAnsi"/>
                <w:lang w:val="en-SG"/>
              </w:rPr>
              <w:t> </w:t>
            </w:r>
            <w:r w:rsidRPr="009C4D10">
              <w:rPr>
                <w:rFonts w:cstheme="minorHAnsi"/>
              </w:rPr>
              <w:t> </w:t>
            </w:r>
            <w:r w:rsidR="006A091E">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F0609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67F5C" w:rsidRDefault="002F0752" w:rsidP="00CF2E7C">
            <w:pPr>
              <w:rPr>
                <w:rFonts w:ascii="Calibri" w:hAnsi="Calibri" w:cs="Calibri"/>
                <w:lang w:val="fr-FR"/>
              </w:rPr>
            </w:pPr>
            <w:r w:rsidRPr="00567F5C">
              <w:rPr>
                <w:rFonts w:ascii="Calibri" w:hAnsi="Calibri" w:cs="Calibri"/>
                <w:lang w:val="fr-FR"/>
              </w:rPr>
              <w:t>Minimum revenue (Enter minimum revenue)</w:t>
            </w:r>
          </w:p>
        </w:tc>
        <w:tc>
          <w:tcPr>
            <w:tcW w:w="4447" w:type="dxa"/>
            <w:gridSpan w:val="3"/>
            <w:vAlign w:val="center"/>
          </w:tcPr>
          <w:p w14:paraId="63712777" w14:textId="77777777" w:rsidR="002F0752" w:rsidRPr="00567F5C"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BA021F" w14:textId="77777777" w:rsidR="00563052" w:rsidRDefault="00563052" w:rsidP="00874E39">
      <w:r>
        <w:separator/>
      </w:r>
    </w:p>
  </w:endnote>
  <w:endnote w:type="continuationSeparator" w:id="0">
    <w:p w14:paraId="2E505436" w14:textId="77777777" w:rsidR="00563052" w:rsidRDefault="00563052" w:rsidP="00874E39">
      <w:r>
        <w:continuationSeparator/>
      </w:r>
    </w:p>
  </w:endnote>
  <w:endnote w:type="continuationNotice" w:id="1">
    <w:p w14:paraId="607F8A40" w14:textId="77777777" w:rsidR="00563052" w:rsidRDefault="005630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CE93BB" w14:textId="77777777" w:rsidR="00563052" w:rsidRDefault="00563052" w:rsidP="00874E39">
      <w:r>
        <w:separator/>
      </w:r>
    </w:p>
  </w:footnote>
  <w:footnote w:type="continuationSeparator" w:id="0">
    <w:p w14:paraId="08FA196E" w14:textId="77777777" w:rsidR="00563052" w:rsidRDefault="00563052" w:rsidP="00874E39">
      <w:r>
        <w:continuationSeparator/>
      </w:r>
    </w:p>
  </w:footnote>
  <w:footnote w:type="continuationNotice" w:id="1">
    <w:p w14:paraId="20A9D831" w14:textId="77777777" w:rsidR="00563052" w:rsidRDefault="005630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62778D5"/>
    <w:multiLevelType w:val="multilevel"/>
    <w:tmpl w:val="C96002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1583877559">
    <w:abstractNumId w:val="2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696"/>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562"/>
    <w:rsid w:val="00016AF3"/>
    <w:rsid w:val="0001715F"/>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53FA"/>
    <w:rsid w:val="000463AE"/>
    <w:rsid w:val="00046B6B"/>
    <w:rsid w:val="00046BFD"/>
    <w:rsid w:val="00047A6C"/>
    <w:rsid w:val="00047A9C"/>
    <w:rsid w:val="00050BDF"/>
    <w:rsid w:val="000526BB"/>
    <w:rsid w:val="00052CA3"/>
    <w:rsid w:val="00054F56"/>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5ED"/>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7DDB"/>
    <w:rsid w:val="000C1982"/>
    <w:rsid w:val="000C2857"/>
    <w:rsid w:val="000C52F1"/>
    <w:rsid w:val="000D0592"/>
    <w:rsid w:val="000D1226"/>
    <w:rsid w:val="000D1C71"/>
    <w:rsid w:val="000D213B"/>
    <w:rsid w:val="000D223D"/>
    <w:rsid w:val="000D3905"/>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887"/>
    <w:rsid w:val="00106F13"/>
    <w:rsid w:val="001076B0"/>
    <w:rsid w:val="001078E1"/>
    <w:rsid w:val="00107CE2"/>
    <w:rsid w:val="00107D91"/>
    <w:rsid w:val="001126A8"/>
    <w:rsid w:val="00112815"/>
    <w:rsid w:val="00112A2C"/>
    <w:rsid w:val="00112A6B"/>
    <w:rsid w:val="00113043"/>
    <w:rsid w:val="0011467E"/>
    <w:rsid w:val="00114AD4"/>
    <w:rsid w:val="001156F1"/>
    <w:rsid w:val="0011644D"/>
    <w:rsid w:val="00116A94"/>
    <w:rsid w:val="001174BF"/>
    <w:rsid w:val="001206CE"/>
    <w:rsid w:val="001221BA"/>
    <w:rsid w:val="00122504"/>
    <w:rsid w:val="00122733"/>
    <w:rsid w:val="00123F5C"/>
    <w:rsid w:val="00124AA5"/>
    <w:rsid w:val="00124C48"/>
    <w:rsid w:val="00134550"/>
    <w:rsid w:val="00134681"/>
    <w:rsid w:val="00136F5B"/>
    <w:rsid w:val="00137257"/>
    <w:rsid w:val="00137BB2"/>
    <w:rsid w:val="00137F33"/>
    <w:rsid w:val="00140A55"/>
    <w:rsid w:val="00140BD0"/>
    <w:rsid w:val="00141D8E"/>
    <w:rsid w:val="00142B76"/>
    <w:rsid w:val="00143C20"/>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3AC"/>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0C71"/>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7DF"/>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3E3"/>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3BF8"/>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429"/>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5F0D"/>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61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B27"/>
    <w:rsid w:val="00360C57"/>
    <w:rsid w:val="00360F12"/>
    <w:rsid w:val="00360F42"/>
    <w:rsid w:val="003612D3"/>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64C3"/>
    <w:rsid w:val="003A0C73"/>
    <w:rsid w:val="003A144F"/>
    <w:rsid w:val="003A2976"/>
    <w:rsid w:val="003A2E5E"/>
    <w:rsid w:val="003A4A9F"/>
    <w:rsid w:val="003A52E3"/>
    <w:rsid w:val="003A5B03"/>
    <w:rsid w:val="003B0628"/>
    <w:rsid w:val="003B169C"/>
    <w:rsid w:val="003B3C0F"/>
    <w:rsid w:val="003B4DD6"/>
    <w:rsid w:val="003B4F81"/>
    <w:rsid w:val="003B539A"/>
    <w:rsid w:val="003B5B6C"/>
    <w:rsid w:val="003B66F6"/>
    <w:rsid w:val="003B7854"/>
    <w:rsid w:val="003C16DA"/>
    <w:rsid w:val="003C5BA2"/>
    <w:rsid w:val="003C6822"/>
    <w:rsid w:val="003D17C7"/>
    <w:rsid w:val="003D1B49"/>
    <w:rsid w:val="003D1CF3"/>
    <w:rsid w:val="003D207B"/>
    <w:rsid w:val="003D244B"/>
    <w:rsid w:val="003D2F57"/>
    <w:rsid w:val="003D4842"/>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AA0"/>
    <w:rsid w:val="003F5B6F"/>
    <w:rsid w:val="003F680F"/>
    <w:rsid w:val="00400800"/>
    <w:rsid w:val="00401843"/>
    <w:rsid w:val="004024D0"/>
    <w:rsid w:val="00404119"/>
    <w:rsid w:val="00404453"/>
    <w:rsid w:val="00405D8B"/>
    <w:rsid w:val="00406478"/>
    <w:rsid w:val="00406643"/>
    <w:rsid w:val="00410170"/>
    <w:rsid w:val="00410853"/>
    <w:rsid w:val="00410FCF"/>
    <w:rsid w:val="00413B91"/>
    <w:rsid w:val="0041424B"/>
    <w:rsid w:val="00414CFC"/>
    <w:rsid w:val="00415C1C"/>
    <w:rsid w:val="00415F83"/>
    <w:rsid w:val="0041618A"/>
    <w:rsid w:val="00416554"/>
    <w:rsid w:val="004205C2"/>
    <w:rsid w:val="004222DF"/>
    <w:rsid w:val="00422B54"/>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06C"/>
    <w:rsid w:val="004711F3"/>
    <w:rsid w:val="00473D86"/>
    <w:rsid w:val="00474855"/>
    <w:rsid w:val="00475F85"/>
    <w:rsid w:val="004768DF"/>
    <w:rsid w:val="00480247"/>
    <w:rsid w:val="00483474"/>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42E"/>
    <w:rsid w:val="004F276F"/>
    <w:rsid w:val="004F48E8"/>
    <w:rsid w:val="004F5354"/>
    <w:rsid w:val="00501CCF"/>
    <w:rsid w:val="00502833"/>
    <w:rsid w:val="00502C8A"/>
    <w:rsid w:val="00502F7A"/>
    <w:rsid w:val="00504B4A"/>
    <w:rsid w:val="00505115"/>
    <w:rsid w:val="005051F0"/>
    <w:rsid w:val="00505C53"/>
    <w:rsid w:val="00507978"/>
    <w:rsid w:val="0051025C"/>
    <w:rsid w:val="005120F3"/>
    <w:rsid w:val="00512D50"/>
    <w:rsid w:val="00512EA5"/>
    <w:rsid w:val="005133A4"/>
    <w:rsid w:val="00513425"/>
    <w:rsid w:val="0051416D"/>
    <w:rsid w:val="00514B44"/>
    <w:rsid w:val="005178CB"/>
    <w:rsid w:val="00517AB0"/>
    <w:rsid w:val="00517BD8"/>
    <w:rsid w:val="005207BF"/>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052"/>
    <w:rsid w:val="00563224"/>
    <w:rsid w:val="00563432"/>
    <w:rsid w:val="00564040"/>
    <w:rsid w:val="00566FDB"/>
    <w:rsid w:val="00567F5C"/>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1868"/>
    <w:rsid w:val="005D55BE"/>
    <w:rsid w:val="005D5AAC"/>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DFC"/>
    <w:rsid w:val="00605595"/>
    <w:rsid w:val="0060639F"/>
    <w:rsid w:val="006066A3"/>
    <w:rsid w:val="00606B61"/>
    <w:rsid w:val="00606B99"/>
    <w:rsid w:val="006073E2"/>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6B48"/>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E64"/>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856"/>
    <w:rsid w:val="00694A4F"/>
    <w:rsid w:val="00695A85"/>
    <w:rsid w:val="00695F64"/>
    <w:rsid w:val="00696548"/>
    <w:rsid w:val="00696D68"/>
    <w:rsid w:val="006A00E0"/>
    <w:rsid w:val="006A091E"/>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4D5D"/>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7684"/>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7D2"/>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E5D"/>
    <w:rsid w:val="00750A02"/>
    <w:rsid w:val="00752CD3"/>
    <w:rsid w:val="00753427"/>
    <w:rsid w:val="0075345B"/>
    <w:rsid w:val="0075419A"/>
    <w:rsid w:val="00754C24"/>
    <w:rsid w:val="007557DF"/>
    <w:rsid w:val="0075607B"/>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CE0"/>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26C"/>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5661"/>
    <w:rsid w:val="008063B5"/>
    <w:rsid w:val="00806435"/>
    <w:rsid w:val="00806AB6"/>
    <w:rsid w:val="00811FC6"/>
    <w:rsid w:val="0081210B"/>
    <w:rsid w:val="008123DC"/>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F33"/>
    <w:rsid w:val="0084684C"/>
    <w:rsid w:val="008472B1"/>
    <w:rsid w:val="00850568"/>
    <w:rsid w:val="0085060B"/>
    <w:rsid w:val="00850F36"/>
    <w:rsid w:val="008510EC"/>
    <w:rsid w:val="00851476"/>
    <w:rsid w:val="00853253"/>
    <w:rsid w:val="00854B57"/>
    <w:rsid w:val="00854CE2"/>
    <w:rsid w:val="0085591B"/>
    <w:rsid w:val="008569FA"/>
    <w:rsid w:val="008577E3"/>
    <w:rsid w:val="00860096"/>
    <w:rsid w:val="00860459"/>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C6D"/>
    <w:rsid w:val="008B0D5A"/>
    <w:rsid w:val="008B0F60"/>
    <w:rsid w:val="008B0F8A"/>
    <w:rsid w:val="008B2418"/>
    <w:rsid w:val="008B3685"/>
    <w:rsid w:val="008B4536"/>
    <w:rsid w:val="008B5DC5"/>
    <w:rsid w:val="008B7E8C"/>
    <w:rsid w:val="008B7F82"/>
    <w:rsid w:val="008C07E1"/>
    <w:rsid w:val="008C0FA6"/>
    <w:rsid w:val="008C2AC5"/>
    <w:rsid w:val="008C2E61"/>
    <w:rsid w:val="008C3A58"/>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BFE"/>
    <w:rsid w:val="008E3BCF"/>
    <w:rsid w:val="008E4B2E"/>
    <w:rsid w:val="008E540F"/>
    <w:rsid w:val="008E55CB"/>
    <w:rsid w:val="008E59EB"/>
    <w:rsid w:val="008E6AE1"/>
    <w:rsid w:val="008E7043"/>
    <w:rsid w:val="008E760C"/>
    <w:rsid w:val="008F27A6"/>
    <w:rsid w:val="008F31B3"/>
    <w:rsid w:val="008F32F0"/>
    <w:rsid w:val="008F520A"/>
    <w:rsid w:val="008F6A58"/>
    <w:rsid w:val="008F6F09"/>
    <w:rsid w:val="00900BE0"/>
    <w:rsid w:val="009011CC"/>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26E11"/>
    <w:rsid w:val="009307C9"/>
    <w:rsid w:val="0093086E"/>
    <w:rsid w:val="00931164"/>
    <w:rsid w:val="00931F08"/>
    <w:rsid w:val="00932230"/>
    <w:rsid w:val="0093344C"/>
    <w:rsid w:val="009338F2"/>
    <w:rsid w:val="00933F3C"/>
    <w:rsid w:val="00934657"/>
    <w:rsid w:val="009370E9"/>
    <w:rsid w:val="00937D9B"/>
    <w:rsid w:val="00940E65"/>
    <w:rsid w:val="0094115B"/>
    <w:rsid w:val="009447E7"/>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736"/>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34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F4E"/>
    <w:rsid w:val="009A4BC9"/>
    <w:rsid w:val="009A50A0"/>
    <w:rsid w:val="009A5C4E"/>
    <w:rsid w:val="009A639D"/>
    <w:rsid w:val="009A66B8"/>
    <w:rsid w:val="009A6D57"/>
    <w:rsid w:val="009A7836"/>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334"/>
    <w:rsid w:val="009E7C10"/>
    <w:rsid w:val="009F2A15"/>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EFB"/>
    <w:rsid w:val="00A123CE"/>
    <w:rsid w:val="00A12A51"/>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4E7"/>
    <w:rsid w:val="00A43AFC"/>
    <w:rsid w:val="00A445CD"/>
    <w:rsid w:val="00A45776"/>
    <w:rsid w:val="00A46507"/>
    <w:rsid w:val="00A46BEA"/>
    <w:rsid w:val="00A47C6E"/>
    <w:rsid w:val="00A501D9"/>
    <w:rsid w:val="00A503F1"/>
    <w:rsid w:val="00A5148B"/>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AAA"/>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184"/>
    <w:rsid w:val="00AD1216"/>
    <w:rsid w:val="00AD1BC7"/>
    <w:rsid w:val="00AD4477"/>
    <w:rsid w:val="00AD4F51"/>
    <w:rsid w:val="00AD5285"/>
    <w:rsid w:val="00AD54D3"/>
    <w:rsid w:val="00AD70E0"/>
    <w:rsid w:val="00AE0028"/>
    <w:rsid w:val="00AE00FE"/>
    <w:rsid w:val="00AE0451"/>
    <w:rsid w:val="00AE0803"/>
    <w:rsid w:val="00AE0ADB"/>
    <w:rsid w:val="00AE1641"/>
    <w:rsid w:val="00AE2662"/>
    <w:rsid w:val="00AE3CBD"/>
    <w:rsid w:val="00AE5D21"/>
    <w:rsid w:val="00AE7467"/>
    <w:rsid w:val="00AE7C5F"/>
    <w:rsid w:val="00AF08A8"/>
    <w:rsid w:val="00AF2019"/>
    <w:rsid w:val="00AF26B7"/>
    <w:rsid w:val="00AF2C89"/>
    <w:rsid w:val="00AF30FD"/>
    <w:rsid w:val="00AF37D0"/>
    <w:rsid w:val="00AF3FC6"/>
    <w:rsid w:val="00AF4B5F"/>
    <w:rsid w:val="00AF5B6E"/>
    <w:rsid w:val="00AF79AE"/>
    <w:rsid w:val="00B006E5"/>
    <w:rsid w:val="00B00CFD"/>
    <w:rsid w:val="00B01374"/>
    <w:rsid w:val="00B01C40"/>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4D3"/>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EB9"/>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CE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17A"/>
    <w:rsid w:val="00B87C89"/>
    <w:rsid w:val="00B90D29"/>
    <w:rsid w:val="00B90F5B"/>
    <w:rsid w:val="00B9130E"/>
    <w:rsid w:val="00B91B0A"/>
    <w:rsid w:val="00B93871"/>
    <w:rsid w:val="00B93AF8"/>
    <w:rsid w:val="00B93EA9"/>
    <w:rsid w:val="00B944C1"/>
    <w:rsid w:val="00B9495C"/>
    <w:rsid w:val="00B94A0E"/>
    <w:rsid w:val="00B95827"/>
    <w:rsid w:val="00B95988"/>
    <w:rsid w:val="00BA01DD"/>
    <w:rsid w:val="00BA07C7"/>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04F"/>
    <w:rsid w:val="00BD1613"/>
    <w:rsid w:val="00BD3AB4"/>
    <w:rsid w:val="00BD5811"/>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786"/>
    <w:rsid w:val="00C01031"/>
    <w:rsid w:val="00C01384"/>
    <w:rsid w:val="00C01AF9"/>
    <w:rsid w:val="00C0274C"/>
    <w:rsid w:val="00C02F33"/>
    <w:rsid w:val="00C1090B"/>
    <w:rsid w:val="00C10DD0"/>
    <w:rsid w:val="00C11704"/>
    <w:rsid w:val="00C13017"/>
    <w:rsid w:val="00C13FBE"/>
    <w:rsid w:val="00C141CA"/>
    <w:rsid w:val="00C149A3"/>
    <w:rsid w:val="00C1677F"/>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37DBE"/>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8AE"/>
    <w:rsid w:val="00C512C5"/>
    <w:rsid w:val="00C512D5"/>
    <w:rsid w:val="00C51B29"/>
    <w:rsid w:val="00C5205E"/>
    <w:rsid w:val="00C522AB"/>
    <w:rsid w:val="00C538DE"/>
    <w:rsid w:val="00C53B57"/>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C1A"/>
    <w:rsid w:val="00C93AD3"/>
    <w:rsid w:val="00C93F42"/>
    <w:rsid w:val="00C9418B"/>
    <w:rsid w:val="00C95D67"/>
    <w:rsid w:val="00C97222"/>
    <w:rsid w:val="00CA0DAE"/>
    <w:rsid w:val="00CA0E49"/>
    <w:rsid w:val="00CA1535"/>
    <w:rsid w:val="00CA5087"/>
    <w:rsid w:val="00CA58EE"/>
    <w:rsid w:val="00CA6EE8"/>
    <w:rsid w:val="00CA7EEF"/>
    <w:rsid w:val="00CB1649"/>
    <w:rsid w:val="00CB179D"/>
    <w:rsid w:val="00CB3E5E"/>
    <w:rsid w:val="00CB4EBD"/>
    <w:rsid w:val="00CB6338"/>
    <w:rsid w:val="00CB76AA"/>
    <w:rsid w:val="00CB790E"/>
    <w:rsid w:val="00CC1407"/>
    <w:rsid w:val="00CC15F1"/>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3F4"/>
    <w:rsid w:val="00CF0A09"/>
    <w:rsid w:val="00CF12B7"/>
    <w:rsid w:val="00CF1F0B"/>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3D01"/>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8E1"/>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26B5"/>
    <w:rsid w:val="00E03122"/>
    <w:rsid w:val="00E03A10"/>
    <w:rsid w:val="00E03F7B"/>
    <w:rsid w:val="00E04C04"/>
    <w:rsid w:val="00E054E4"/>
    <w:rsid w:val="00E11F06"/>
    <w:rsid w:val="00E121D3"/>
    <w:rsid w:val="00E122B2"/>
    <w:rsid w:val="00E12745"/>
    <w:rsid w:val="00E12B4B"/>
    <w:rsid w:val="00E139A9"/>
    <w:rsid w:val="00E15108"/>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07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3D2"/>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AC2"/>
    <w:rsid w:val="00EE5475"/>
    <w:rsid w:val="00EE559B"/>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609F"/>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44CAA"/>
    <w:rsid w:val="00F511CC"/>
    <w:rsid w:val="00F51334"/>
    <w:rsid w:val="00F5203B"/>
    <w:rsid w:val="00F526AD"/>
    <w:rsid w:val="00F527B7"/>
    <w:rsid w:val="00F52E73"/>
    <w:rsid w:val="00F52F6F"/>
    <w:rsid w:val="00F53828"/>
    <w:rsid w:val="00F54E73"/>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7EF"/>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1393"/>
    <w:rsid w:val="00FD1BBE"/>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41D03F"/>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7B18A07"/>
    <w:rsid w:val="18063CAC"/>
    <w:rsid w:val="18897098"/>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B0D797"/>
    <w:rsid w:val="1CCECCC4"/>
    <w:rsid w:val="1D6CE54C"/>
    <w:rsid w:val="1D9A7EFB"/>
    <w:rsid w:val="1E05EFD2"/>
    <w:rsid w:val="1E4DD30F"/>
    <w:rsid w:val="1E5273E9"/>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387D82"/>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0023F0"/>
    <w:rsid w:val="2B60652F"/>
    <w:rsid w:val="2BEFB30E"/>
    <w:rsid w:val="2BF3A920"/>
    <w:rsid w:val="2BFF2089"/>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6439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B2AECA"/>
    <w:rsid w:val="35F55AB0"/>
    <w:rsid w:val="363B9A27"/>
    <w:rsid w:val="366D57B2"/>
    <w:rsid w:val="3675C8BF"/>
    <w:rsid w:val="36ACEF8A"/>
    <w:rsid w:val="36DD9018"/>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12F1F4"/>
    <w:rsid w:val="3C3340AE"/>
    <w:rsid w:val="3C3F06C6"/>
    <w:rsid w:val="3C49D6BA"/>
    <w:rsid w:val="3D0F889E"/>
    <w:rsid w:val="3D1F8329"/>
    <w:rsid w:val="3D317E74"/>
    <w:rsid w:val="3D433E13"/>
    <w:rsid w:val="3D4E5956"/>
    <w:rsid w:val="3D55AC46"/>
    <w:rsid w:val="3D568842"/>
    <w:rsid w:val="3D8C9922"/>
    <w:rsid w:val="3DBBE6A9"/>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3C61F7"/>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7E9F8"/>
    <w:rsid w:val="49442BB5"/>
    <w:rsid w:val="495A2E3A"/>
    <w:rsid w:val="49B977DD"/>
    <w:rsid w:val="49D06C0A"/>
    <w:rsid w:val="49D91ECA"/>
    <w:rsid w:val="4A39A0B6"/>
    <w:rsid w:val="4A419F96"/>
    <w:rsid w:val="4A649438"/>
    <w:rsid w:val="4A6A11D0"/>
    <w:rsid w:val="4A6D6D0F"/>
    <w:rsid w:val="4A7044EC"/>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840D81"/>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CE5DE7"/>
    <w:rsid w:val="60FA34EA"/>
    <w:rsid w:val="611B361C"/>
    <w:rsid w:val="6186C2D7"/>
    <w:rsid w:val="61A942DB"/>
    <w:rsid w:val="62145993"/>
    <w:rsid w:val="62758EDD"/>
    <w:rsid w:val="62A9964B"/>
    <w:rsid w:val="62BF568E"/>
    <w:rsid w:val="62CF290A"/>
    <w:rsid w:val="62E26A3D"/>
    <w:rsid w:val="62F2EE59"/>
    <w:rsid w:val="631014AC"/>
    <w:rsid w:val="632FDEEE"/>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BC7BF7"/>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6C235D"/>
    <w:rsid w:val="6CC40759"/>
    <w:rsid w:val="6D18607E"/>
    <w:rsid w:val="6D32AACD"/>
    <w:rsid w:val="6D508D7A"/>
    <w:rsid w:val="6D73AD7A"/>
    <w:rsid w:val="6D9F1740"/>
    <w:rsid w:val="6DB51A17"/>
    <w:rsid w:val="6DF67BBE"/>
    <w:rsid w:val="6E00BFA8"/>
    <w:rsid w:val="6E05B31C"/>
    <w:rsid w:val="6EBDAFD5"/>
    <w:rsid w:val="6ED235F2"/>
    <w:rsid w:val="6F4875AE"/>
    <w:rsid w:val="6F60A3EB"/>
    <w:rsid w:val="6F6F38B2"/>
    <w:rsid w:val="6FDA1EF6"/>
    <w:rsid w:val="70A065F4"/>
    <w:rsid w:val="71033058"/>
    <w:rsid w:val="71ACEB1F"/>
    <w:rsid w:val="722311C5"/>
    <w:rsid w:val="72A7AC17"/>
    <w:rsid w:val="7311B6DE"/>
    <w:rsid w:val="733BC974"/>
    <w:rsid w:val="735D66E0"/>
    <w:rsid w:val="736E1234"/>
    <w:rsid w:val="738B125B"/>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C558910"/>
    <w:rsid w:val="7D21AE94"/>
    <w:rsid w:val="7D521BC0"/>
    <w:rsid w:val="7DC846F0"/>
    <w:rsid w:val="7E051BE0"/>
    <w:rsid w:val="7E7AD4DA"/>
    <w:rsid w:val="7E804FEF"/>
    <w:rsid w:val="7E85AC65"/>
    <w:rsid w:val="7E936A87"/>
    <w:rsid w:val="7F055E15"/>
    <w:rsid w:val="7F304C33"/>
    <w:rsid w:val="7F327DCF"/>
    <w:rsid w:val="7F447CF3"/>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59625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9165159/https://www.eba.europa.eu/sites/default/files/document_library/Publications/Guidelines/2021/1016721/Final%20report%20on%20Guidelines%20on%20internal%20governance%20under%20CRD.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9164640/https:/eur-lex.europa.eu/legal-content/EN/TXT/?uri=CELEX:02019L2034-20241224"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7183937/https://www.eba.europa.eu/sites/default/files/document_library/Publications/Reports/2021/1015656/EBA%20Report%20on%20ESG%20risks%20management%20and%20supervision.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261D375A-F0F4-44B1-9B2F-7BC3A1319B7C}"/>
</file>

<file path=docProps/app.xml><?xml version="1.0" encoding="utf-8"?>
<Properties xmlns="http://schemas.openxmlformats.org/officeDocument/2006/extended-properties" xmlns:vt="http://schemas.openxmlformats.org/officeDocument/2006/docPropsVTypes">
  <Template>Normal</Template>
  <TotalTime>0</TotalTime>
  <Pages>115</Pages>
  <Words>22690</Words>
  <Characters>135236</Characters>
  <Application>Microsoft Office Word</Application>
  <DocSecurity>0</DocSecurity>
  <Lines>8452</Lines>
  <Paragraphs>4785</Paragraphs>
  <ScaleCrop>false</ScaleCrop>
  <Company/>
  <LinksUpToDate>false</LinksUpToDate>
  <CharactersWithSpaces>153141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82</cp:revision>
  <cp:lastPrinted>2025-03-21T00:14:00Z</cp:lastPrinted>
  <dcterms:created xsi:type="dcterms:W3CDTF">2025-06-19T08:55:00Z</dcterms:created>
  <dcterms:modified xsi:type="dcterms:W3CDTF">2025-07-29T17:05:00Z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